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BC" w:rsidRPr="00034BBC" w:rsidRDefault="00034BBC" w:rsidP="00E402F6">
      <w:pPr>
        <w:pStyle w:val="Header"/>
        <w:spacing w:after="0"/>
        <w:jc w:val="center"/>
        <w:rPr>
          <w:b/>
          <w:sz w:val="28"/>
          <w:szCs w:val="28"/>
          <w:lang w:val="en-GB"/>
        </w:rPr>
      </w:pPr>
      <w:bookmarkStart w:id="0" w:name="_Ref33607571"/>
      <w:r w:rsidRPr="00034BBC">
        <w:rPr>
          <w:b/>
          <w:noProof/>
          <w:sz w:val="28"/>
          <w:szCs w:val="28"/>
          <w:lang w:val="en-GB"/>
        </w:rPr>
        <w:t>ANNEX IV</w:t>
      </w:r>
    </w:p>
    <w:p w:rsidR="00B56131" w:rsidRPr="00034BBC" w:rsidRDefault="00B56131" w:rsidP="00E402F6">
      <w:pPr>
        <w:pStyle w:val="Caption"/>
        <w:spacing w:before="0" w:after="0"/>
        <w:jc w:val="center"/>
        <w:rPr>
          <w:sz w:val="28"/>
          <w:szCs w:val="28"/>
          <w:lang w:val="en-GB"/>
        </w:rPr>
      </w:pPr>
      <w:r w:rsidRPr="00034BBC">
        <w:rPr>
          <w:sz w:val="28"/>
          <w:szCs w:val="28"/>
          <w:lang w:val="en-GB"/>
        </w:rPr>
        <w:t>Procurement by grant Beneficiaries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rsidR="0072068B" w:rsidRPr="0072068B" w:rsidRDefault="0072068B" w:rsidP="00E402F6">
      <w:pPr>
        <w:rPr>
          <w:lang w:val="en-GB"/>
        </w:rPr>
      </w:pPr>
    </w:p>
    <w:p w:rsidR="00B56131" w:rsidRPr="0072068B" w:rsidRDefault="00B56131" w:rsidP="00E402F6">
      <w:pPr>
        <w:pStyle w:val="Heading1"/>
        <w:keepNext w:val="0"/>
        <w:numPr>
          <w:ilvl w:val="0"/>
          <w:numId w:val="3"/>
        </w:numPr>
        <w:spacing w:before="0"/>
        <w:ind w:left="482" w:hanging="482"/>
        <w:rPr>
          <w:szCs w:val="24"/>
          <w:lang w:val="en-GB"/>
        </w:rPr>
      </w:pPr>
      <w:bookmarkStart w:id="1" w:name="_Ref41360266"/>
      <w:bookmarkStart w:id="2" w:name="_Ref33501318"/>
      <w:bookmarkEnd w:id="0"/>
      <w:r w:rsidRPr="0072068B">
        <w:rPr>
          <w:szCs w:val="24"/>
          <w:lang w:val="en-GB"/>
        </w:rPr>
        <w:t>General principles</w:t>
      </w:r>
      <w:bookmarkEnd w:id="1"/>
    </w:p>
    <w:bookmarkEnd w:id="2"/>
    <w:p w:rsidR="00F21399" w:rsidRDefault="00B56131" w:rsidP="00A347CB">
      <w:pPr>
        <w:pStyle w:val="Text1"/>
        <w:ind w:left="0"/>
        <w:rPr>
          <w:sz w:val="22"/>
          <w:szCs w:val="22"/>
          <w:lang w:val="en-GB"/>
        </w:rPr>
      </w:pPr>
      <w:r w:rsidRPr="00553B2F">
        <w:rPr>
          <w:sz w:val="22"/>
          <w:szCs w:val="22"/>
          <w:lang w:val="en-GB"/>
        </w:rPr>
        <w:t>If the implementation of an Action requires procurement by the Beneficiary</w:t>
      </w:r>
      <w:r w:rsidR="003526FA">
        <w:rPr>
          <w:sz w:val="22"/>
          <w:szCs w:val="22"/>
          <w:lang w:val="en-GB"/>
        </w:rPr>
        <w:t>(ies)</w:t>
      </w:r>
      <w:r w:rsidRPr="00553B2F">
        <w:rPr>
          <w:sz w:val="22"/>
          <w:szCs w:val="22"/>
          <w:lang w:val="en-GB"/>
        </w:rPr>
        <w:t xml:space="preserve">, the contract must be awarded to the </w:t>
      </w:r>
      <w:r w:rsidRPr="00A7337A">
        <w:rPr>
          <w:sz w:val="22"/>
          <w:szCs w:val="22"/>
          <w:lang w:val="en-GB"/>
        </w:rPr>
        <w:t xml:space="preserve">tender </w:t>
      </w:r>
      <w:r w:rsidR="00F21399">
        <w:rPr>
          <w:sz w:val="22"/>
          <w:szCs w:val="22"/>
          <w:lang w:val="en-GB"/>
        </w:rPr>
        <w:t xml:space="preserve">offering best value for money </w:t>
      </w:r>
      <w:r w:rsidRPr="00A7337A">
        <w:rPr>
          <w:sz w:val="22"/>
          <w:szCs w:val="22"/>
          <w:lang w:val="en-GB"/>
        </w:rPr>
        <w:t>(i</w:t>
      </w:r>
      <w:r w:rsidR="002F27D2">
        <w:rPr>
          <w:sz w:val="22"/>
          <w:szCs w:val="22"/>
          <w:lang w:val="en-GB"/>
        </w:rPr>
        <w:t>.</w:t>
      </w:r>
      <w:r w:rsidRPr="00A7337A">
        <w:rPr>
          <w:sz w:val="22"/>
          <w:szCs w:val="22"/>
          <w:lang w:val="en-GB"/>
        </w:rPr>
        <w:t>e</w:t>
      </w:r>
      <w:r w:rsidR="002F27D2">
        <w:rPr>
          <w:sz w:val="22"/>
          <w:szCs w:val="22"/>
          <w:lang w:val="en-GB"/>
        </w:rPr>
        <w:t>.</w:t>
      </w:r>
      <w:r w:rsidRPr="00A7337A">
        <w:rPr>
          <w:sz w:val="22"/>
          <w:szCs w:val="22"/>
          <w:lang w:val="en-GB"/>
        </w:rPr>
        <w:t xml:space="preserve"> the tender offering the best price-quality ratio</w:t>
      </w:r>
      <w:r w:rsidRPr="00553B2F">
        <w:rPr>
          <w:sz w:val="22"/>
          <w:szCs w:val="22"/>
          <w:lang w:val="en-GB"/>
        </w:rPr>
        <w:t>)</w:t>
      </w:r>
      <w:r w:rsidR="002E755B" w:rsidRPr="00553B2F">
        <w:rPr>
          <w:sz w:val="22"/>
          <w:szCs w:val="22"/>
          <w:lang w:val="en-GB"/>
        </w:rPr>
        <w:t xml:space="preserve">, or, in case of work or supply contracts not involving after-sales service, </w:t>
      </w:r>
      <w:r w:rsidR="00F21399">
        <w:rPr>
          <w:sz w:val="22"/>
          <w:szCs w:val="22"/>
          <w:lang w:val="en-GB"/>
        </w:rPr>
        <w:t>to the tender offering the lowest price</w:t>
      </w:r>
      <w:r w:rsidR="002E755B" w:rsidRPr="00553B2F">
        <w:rPr>
          <w:sz w:val="22"/>
          <w:szCs w:val="22"/>
          <w:lang w:val="en-GB"/>
        </w:rPr>
        <w:t xml:space="preserve">. </w:t>
      </w:r>
    </w:p>
    <w:p w:rsidR="00A347CB" w:rsidRPr="00A347CB" w:rsidRDefault="002E755B" w:rsidP="00A347CB">
      <w:pPr>
        <w:pStyle w:val="Text1"/>
        <w:ind w:left="0"/>
        <w:rPr>
          <w:sz w:val="22"/>
          <w:szCs w:val="22"/>
          <w:lang w:val="en-GB"/>
        </w:rPr>
      </w:pPr>
      <w:r w:rsidRPr="00553B2F">
        <w:rPr>
          <w:sz w:val="22"/>
          <w:szCs w:val="22"/>
          <w:lang w:val="en-GB"/>
        </w:rPr>
        <w:t>Contracts must be awarded</w:t>
      </w:r>
      <w:r w:rsidR="00B56131" w:rsidRPr="00553B2F">
        <w:rPr>
          <w:sz w:val="22"/>
          <w:szCs w:val="22"/>
          <w:lang w:val="en-GB"/>
        </w:rPr>
        <w:t xml:space="preserve"> in accordance with </w:t>
      </w:r>
      <w:r w:rsidR="00A347CB" w:rsidRPr="00A7337A">
        <w:rPr>
          <w:sz w:val="22"/>
          <w:szCs w:val="22"/>
          <w:lang w:val="en-GB"/>
        </w:rPr>
        <w:t>procurement rules and procedures</w:t>
      </w:r>
      <w:r w:rsidR="00A347CB">
        <w:rPr>
          <w:sz w:val="22"/>
          <w:szCs w:val="22"/>
          <w:lang w:val="en-GB"/>
        </w:rPr>
        <w:t>:</w:t>
      </w:r>
    </w:p>
    <w:p w:rsidR="00F21399" w:rsidRDefault="00A347CB" w:rsidP="0013483E">
      <w:pPr>
        <w:pStyle w:val="Text1"/>
        <w:numPr>
          <w:ilvl w:val="0"/>
          <w:numId w:val="49"/>
        </w:numPr>
        <w:spacing w:after="40"/>
        <w:ind w:left="714" w:hanging="357"/>
        <w:rPr>
          <w:sz w:val="22"/>
          <w:szCs w:val="22"/>
          <w:lang w:val="en-GB"/>
        </w:rPr>
      </w:pPr>
      <w:r w:rsidRPr="00A347CB">
        <w:rPr>
          <w:sz w:val="22"/>
          <w:szCs w:val="22"/>
          <w:lang w:val="en-GB"/>
        </w:rPr>
        <w:t>ensur</w:t>
      </w:r>
      <w:r w:rsidR="008260D7">
        <w:rPr>
          <w:sz w:val="22"/>
          <w:szCs w:val="22"/>
          <w:lang w:val="en-GB"/>
        </w:rPr>
        <w:t>ing</w:t>
      </w:r>
      <w:r w:rsidRPr="00A347CB">
        <w:rPr>
          <w:sz w:val="22"/>
          <w:szCs w:val="22"/>
          <w:lang w:val="en-GB"/>
        </w:rPr>
        <w:t xml:space="preserve"> </w:t>
      </w:r>
      <w:r w:rsidR="008260D7">
        <w:rPr>
          <w:sz w:val="22"/>
          <w:szCs w:val="22"/>
          <w:lang w:val="en-GB"/>
        </w:rPr>
        <w:t xml:space="preserve">sufficient </w:t>
      </w:r>
      <w:r w:rsidRPr="00A347CB">
        <w:rPr>
          <w:sz w:val="22"/>
          <w:szCs w:val="22"/>
          <w:lang w:val="en-GB"/>
        </w:rPr>
        <w:t>transparency</w:t>
      </w:r>
      <w:r w:rsidR="00F21399">
        <w:rPr>
          <w:sz w:val="22"/>
          <w:szCs w:val="22"/>
          <w:lang w:val="en-GB"/>
        </w:rPr>
        <w:t>, fair competition</w:t>
      </w:r>
      <w:r w:rsidRPr="00A347CB">
        <w:rPr>
          <w:sz w:val="22"/>
          <w:szCs w:val="22"/>
          <w:lang w:val="en-GB"/>
        </w:rPr>
        <w:t xml:space="preserve"> </w:t>
      </w:r>
      <w:r w:rsidR="008260D7">
        <w:rPr>
          <w:sz w:val="22"/>
          <w:szCs w:val="22"/>
          <w:lang w:val="en-GB"/>
        </w:rPr>
        <w:t>and</w:t>
      </w:r>
      <w:r w:rsidRPr="00A347CB">
        <w:rPr>
          <w:sz w:val="22"/>
          <w:szCs w:val="22"/>
          <w:lang w:val="en-GB"/>
        </w:rPr>
        <w:t xml:space="preserve"> adequate ex-ante </w:t>
      </w:r>
      <w:r w:rsidR="008260D7">
        <w:rPr>
          <w:sz w:val="22"/>
          <w:szCs w:val="22"/>
          <w:lang w:val="en-GB"/>
        </w:rPr>
        <w:t>publicity</w:t>
      </w:r>
      <w:r w:rsidR="00F21399" w:rsidRPr="00A347CB" w:rsidDel="00F21399">
        <w:rPr>
          <w:sz w:val="22"/>
          <w:szCs w:val="22"/>
          <w:lang w:val="en-GB"/>
        </w:rPr>
        <w:t xml:space="preserve"> </w:t>
      </w:r>
    </w:p>
    <w:p w:rsidR="00A347CB" w:rsidRPr="00A347CB" w:rsidRDefault="00A347CB" w:rsidP="0013483E">
      <w:pPr>
        <w:pStyle w:val="Text1"/>
        <w:numPr>
          <w:ilvl w:val="0"/>
          <w:numId w:val="49"/>
        </w:numPr>
        <w:spacing w:after="40"/>
        <w:ind w:left="714" w:hanging="357"/>
        <w:rPr>
          <w:sz w:val="22"/>
          <w:szCs w:val="22"/>
          <w:lang w:val="en-GB"/>
        </w:rPr>
      </w:pPr>
      <w:r w:rsidRPr="00A347CB">
        <w:rPr>
          <w:sz w:val="22"/>
          <w:szCs w:val="22"/>
          <w:lang w:val="en-GB"/>
        </w:rPr>
        <w:t>ensur</w:t>
      </w:r>
      <w:r w:rsidR="008260D7">
        <w:rPr>
          <w:sz w:val="22"/>
          <w:szCs w:val="22"/>
          <w:lang w:val="en-GB"/>
        </w:rPr>
        <w:t>ing</w:t>
      </w:r>
      <w:r w:rsidRPr="00A347CB">
        <w:rPr>
          <w:sz w:val="22"/>
          <w:szCs w:val="22"/>
          <w:lang w:val="en-GB"/>
        </w:rPr>
        <w:t xml:space="preserve"> equal treatment, proportionality and non-discrimination;</w:t>
      </w:r>
    </w:p>
    <w:p w:rsidR="00B3228F" w:rsidRDefault="00F21399" w:rsidP="0013483E">
      <w:pPr>
        <w:pStyle w:val="Text1"/>
        <w:numPr>
          <w:ilvl w:val="0"/>
          <w:numId w:val="49"/>
        </w:numPr>
        <w:spacing w:after="120"/>
        <w:rPr>
          <w:sz w:val="22"/>
          <w:szCs w:val="22"/>
          <w:lang w:val="en-GB"/>
        </w:rPr>
      </w:pPr>
      <w:r>
        <w:rPr>
          <w:sz w:val="22"/>
          <w:szCs w:val="22"/>
          <w:lang w:val="en-GB"/>
        </w:rPr>
        <w:t>avoiding</w:t>
      </w:r>
      <w:r w:rsidR="008260D7">
        <w:rPr>
          <w:sz w:val="22"/>
          <w:szCs w:val="22"/>
          <w:lang w:val="en-GB"/>
        </w:rPr>
        <w:t xml:space="preserve"> </w:t>
      </w:r>
      <w:r w:rsidR="00A347CB" w:rsidRPr="00A347CB">
        <w:rPr>
          <w:sz w:val="22"/>
          <w:szCs w:val="22"/>
          <w:lang w:val="en-GB"/>
        </w:rPr>
        <w:t>conflicts of interests throughout the entire procurement procedure</w:t>
      </w:r>
      <w:r w:rsidR="00B3228F">
        <w:rPr>
          <w:sz w:val="22"/>
          <w:szCs w:val="22"/>
          <w:lang w:val="en-GB"/>
        </w:rPr>
        <w:t>.</w:t>
      </w:r>
    </w:p>
    <w:p w:rsidR="00B56131" w:rsidRPr="00553B2F" w:rsidRDefault="00B3228F" w:rsidP="00A347CB">
      <w:pPr>
        <w:pStyle w:val="Text1"/>
        <w:ind w:left="0"/>
        <w:rPr>
          <w:sz w:val="22"/>
          <w:szCs w:val="22"/>
          <w:lang w:val="en-GB"/>
        </w:rPr>
      </w:pPr>
      <w:r>
        <w:rPr>
          <w:sz w:val="22"/>
          <w:szCs w:val="22"/>
          <w:lang w:val="en-GB"/>
        </w:rPr>
        <w:t>C</w:t>
      </w:r>
      <w:r w:rsidR="008F2484" w:rsidRPr="00553B2F">
        <w:rPr>
          <w:sz w:val="22"/>
          <w:szCs w:val="22"/>
          <w:lang w:val="en-GB"/>
        </w:rPr>
        <w:t xml:space="preserve">ontracts </w:t>
      </w:r>
      <w:r>
        <w:rPr>
          <w:sz w:val="22"/>
          <w:szCs w:val="22"/>
          <w:lang w:val="en-GB"/>
        </w:rPr>
        <w:t xml:space="preserve">must not </w:t>
      </w:r>
      <w:r w:rsidR="008F2484" w:rsidRPr="00553B2F">
        <w:rPr>
          <w:sz w:val="22"/>
          <w:szCs w:val="22"/>
          <w:lang w:val="en-GB"/>
        </w:rPr>
        <w:t>be split artificially to circumvent procurement thresholds.</w:t>
      </w:r>
    </w:p>
    <w:p w:rsidR="00D058BB" w:rsidRDefault="00B56131" w:rsidP="00E402F6">
      <w:pPr>
        <w:pStyle w:val="Text1"/>
        <w:ind w:left="0"/>
        <w:rPr>
          <w:sz w:val="22"/>
          <w:szCs w:val="22"/>
          <w:lang w:val="en-GB"/>
        </w:rPr>
      </w:pPr>
      <w:bookmarkStart w:id="3" w:name="_Hlt35047416"/>
      <w:r w:rsidRPr="00517B0A">
        <w:rPr>
          <w:sz w:val="22"/>
          <w:szCs w:val="22"/>
          <w:lang w:val="en-GB"/>
        </w:rPr>
        <w:t xml:space="preserve">To this end, the rules set out in sections </w:t>
      </w:r>
      <w:r w:rsidR="009D57C8">
        <w:rPr>
          <w:sz w:val="22"/>
          <w:szCs w:val="22"/>
          <w:lang w:val="en-GB"/>
        </w:rPr>
        <w:t>2</w:t>
      </w:r>
      <w:r w:rsidRPr="00DD58C2">
        <w:rPr>
          <w:sz w:val="22"/>
          <w:szCs w:val="22"/>
          <w:lang w:val="en-GB"/>
        </w:rPr>
        <w:t xml:space="preserve"> to</w:t>
      </w:r>
      <w:r w:rsidR="00B33A61">
        <w:rPr>
          <w:sz w:val="22"/>
          <w:szCs w:val="22"/>
          <w:lang w:val="en-GB"/>
        </w:rPr>
        <w:t xml:space="preserve"> 7</w:t>
      </w:r>
      <w:r w:rsidRPr="00DD58C2">
        <w:rPr>
          <w:sz w:val="22"/>
          <w:szCs w:val="22"/>
          <w:lang w:val="en-GB"/>
        </w:rPr>
        <w:t xml:space="preserve"> below, subject to section</w:t>
      </w:r>
      <w:r w:rsidR="00830C69">
        <w:rPr>
          <w:sz w:val="22"/>
          <w:szCs w:val="22"/>
          <w:lang w:val="en-GB"/>
        </w:rPr>
        <w:t xml:space="preserve"> 8</w:t>
      </w:r>
      <w:r w:rsidR="00E823B2" w:rsidRPr="00DD58C2">
        <w:rPr>
          <w:sz w:val="22"/>
          <w:szCs w:val="22"/>
          <w:lang w:val="en-GB"/>
        </w:rPr>
        <w:t>, must be followed</w:t>
      </w:r>
      <w:r w:rsidRPr="00DD58C2">
        <w:rPr>
          <w:sz w:val="22"/>
          <w:szCs w:val="22"/>
          <w:lang w:val="en-GB"/>
        </w:rPr>
        <w:t>.</w:t>
      </w:r>
      <w:r w:rsidR="00B9220A">
        <w:rPr>
          <w:sz w:val="22"/>
          <w:szCs w:val="22"/>
          <w:lang w:val="en-GB"/>
        </w:rPr>
        <w:t xml:space="preserve"> These lay down the minimum procedures to be followed and it is not precluded that other procedures offering more competition are used. </w:t>
      </w:r>
    </w:p>
    <w:bookmarkEnd w:id="3"/>
    <w:p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3526FA">
        <w:rPr>
          <w:sz w:val="22"/>
          <w:szCs w:val="22"/>
          <w:lang w:val="en-GB"/>
        </w:rPr>
        <w:t xml:space="preserve">Beneficiary(ies)'s </w:t>
      </w:r>
      <w:r w:rsidRPr="00F40BFC">
        <w:rPr>
          <w:sz w:val="22"/>
          <w:szCs w:val="22"/>
          <w:lang w:val="en-GB"/>
        </w:rPr>
        <w:t>compliance with the</w:t>
      </w:r>
      <w:r w:rsidR="00E823B2">
        <w:rPr>
          <w:sz w:val="22"/>
          <w:szCs w:val="22"/>
          <w:lang w:val="en-GB"/>
        </w:rPr>
        <w:t>se</w:t>
      </w:r>
      <w:r w:rsidRPr="00F40BFC">
        <w:rPr>
          <w:sz w:val="22"/>
          <w:szCs w:val="22"/>
          <w:lang w:val="en-GB"/>
        </w:rPr>
        <w:t xml:space="preserve"> rules</w:t>
      </w:r>
      <w:r w:rsidR="00E823B2">
        <w:rPr>
          <w:sz w:val="22"/>
          <w:szCs w:val="22"/>
          <w:lang w:val="en-GB"/>
        </w:rPr>
        <w:t>. Failure to comply with these rules</w:t>
      </w:r>
      <w:r w:rsidR="00744420">
        <w:rPr>
          <w:sz w:val="22"/>
          <w:szCs w:val="22"/>
          <w:lang w:val="en-GB"/>
        </w:rPr>
        <w:t xml:space="preserve"> would render the related expenditure ineligible</w:t>
      </w:r>
      <w:r w:rsidR="00E823B2">
        <w:rPr>
          <w:sz w:val="22"/>
          <w:szCs w:val="22"/>
          <w:lang w:val="en-GB"/>
        </w:rPr>
        <w:t xml:space="preserve"> for EU/EDF funding.</w:t>
      </w:r>
    </w:p>
    <w:p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3526FA">
        <w:rPr>
          <w:sz w:val="22"/>
          <w:szCs w:val="22"/>
          <w:lang w:val="en-GB"/>
        </w:rPr>
        <w:t>Beneficiary(ies)'s affiliated entity(ies).</w:t>
      </w:r>
      <w:r w:rsidR="003526FA" w:rsidRPr="003526FA">
        <w:rPr>
          <w:sz w:val="22"/>
          <w:szCs w:val="22"/>
          <w:lang w:val="en-GB"/>
        </w:rPr>
        <w:t xml:space="preserve"> </w:t>
      </w:r>
    </w:p>
    <w:p w:rsidR="00B56131" w:rsidRPr="00B45343" w:rsidRDefault="00B56131" w:rsidP="00E402F6">
      <w:pPr>
        <w:pStyle w:val="Heading1"/>
        <w:keepNext w:val="0"/>
        <w:numPr>
          <w:ilvl w:val="0"/>
          <w:numId w:val="3"/>
        </w:numPr>
        <w:spacing w:before="0"/>
        <w:ind w:left="482" w:hanging="482"/>
        <w:rPr>
          <w:szCs w:val="24"/>
          <w:lang w:val="en-GB"/>
        </w:rPr>
      </w:pPr>
      <w:bookmarkStart w:id="4" w:name="_Ref41358995"/>
      <w:bookmarkStart w:id="5" w:name="_Ref17797939"/>
      <w:bookmarkStart w:id="6" w:name="_Ref17802608"/>
      <w:r w:rsidRPr="00B45343">
        <w:rPr>
          <w:szCs w:val="24"/>
          <w:lang w:val="en-GB"/>
        </w:rPr>
        <w:t>Eligibility for contracts</w:t>
      </w:r>
      <w:bookmarkEnd w:id="4"/>
    </w:p>
    <w:p w:rsidR="00B56131" w:rsidRPr="00F40BFC" w:rsidRDefault="00B56131" w:rsidP="00830C69">
      <w:pPr>
        <w:pStyle w:val="Heading2"/>
      </w:pPr>
      <w:bookmarkStart w:id="7" w:name="_Ref41358767"/>
      <w:bookmarkEnd w:id="5"/>
      <w:bookmarkEnd w:id="6"/>
      <w:r w:rsidRPr="00F40BFC">
        <w:t>The nationality rule</w:t>
      </w:r>
      <w:bookmarkEnd w:id="7"/>
    </w:p>
    <w:p w:rsidR="00B56131" w:rsidRPr="00F40BFC" w:rsidRDefault="00B56131" w:rsidP="00E402F6">
      <w:pPr>
        <w:rPr>
          <w:sz w:val="22"/>
          <w:szCs w:val="22"/>
          <w:lang w:val="en-GB"/>
        </w:rPr>
      </w:pPr>
      <w:r w:rsidRPr="00F40BFC">
        <w:rPr>
          <w:sz w:val="22"/>
          <w:szCs w:val="22"/>
          <w:lang w:val="en-GB"/>
        </w:rPr>
        <w:t xml:space="preserve">Participation in tender procedures </w:t>
      </w:r>
      <w:r w:rsidR="00744420">
        <w:rPr>
          <w:sz w:val="22"/>
          <w:szCs w:val="22"/>
          <w:lang w:val="en-GB"/>
        </w:rPr>
        <w:t>managed</w:t>
      </w:r>
      <w:r w:rsidR="00744420" w:rsidRPr="00F40BFC">
        <w:rPr>
          <w:sz w:val="22"/>
          <w:szCs w:val="22"/>
          <w:lang w:val="en-GB"/>
        </w:rPr>
        <w:t xml:space="preserve"> </w:t>
      </w:r>
      <w:r w:rsidRPr="00F40BFC">
        <w:rPr>
          <w:sz w:val="22"/>
          <w:szCs w:val="22"/>
          <w:lang w:val="en-GB"/>
        </w:rPr>
        <w:t xml:space="preserve">by the </w:t>
      </w:r>
      <w:r w:rsidR="003526FA">
        <w:rPr>
          <w:sz w:val="22"/>
          <w:szCs w:val="22"/>
          <w:lang w:val="en-GB"/>
        </w:rPr>
        <w:t>Beneficiary(ies)</w:t>
      </w:r>
      <w:r w:rsidR="003526FA" w:rsidRPr="003526FA">
        <w:rPr>
          <w:sz w:val="22"/>
          <w:szCs w:val="22"/>
          <w:lang w:val="en-GB"/>
        </w:rPr>
        <w:t xml:space="preserve"> </w:t>
      </w:r>
      <w:r w:rsidRPr="00F40BFC">
        <w:rPr>
          <w:sz w:val="22"/>
          <w:szCs w:val="22"/>
          <w:lang w:val="en-GB"/>
        </w:rPr>
        <w:t xml:space="preserve">is open on equal terms to all natural and legal persons </w:t>
      </w:r>
      <w:r w:rsidR="004708DC">
        <w:rPr>
          <w:sz w:val="22"/>
          <w:szCs w:val="22"/>
          <w:lang w:val="en-GB"/>
        </w:rPr>
        <w:t xml:space="preserve">effectively established in a </w:t>
      </w:r>
      <w:r w:rsidRPr="00F40BFC">
        <w:rPr>
          <w:sz w:val="22"/>
          <w:szCs w:val="22"/>
          <w:lang w:val="en-GB"/>
        </w:rPr>
        <w:t xml:space="preserve">Member State </w:t>
      </w:r>
      <w:r w:rsidR="004708DC">
        <w:rPr>
          <w:sz w:val="22"/>
          <w:szCs w:val="22"/>
          <w:lang w:val="en-GB"/>
        </w:rPr>
        <w:t>or a country</w:t>
      </w:r>
      <w:r w:rsidR="00F8546F">
        <w:rPr>
          <w:sz w:val="22"/>
          <w:szCs w:val="22"/>
          <w:lang w:val="en-GB"/>
        </w:rPr>
        <w:t>,</w:t>
      </w:r>
      <w:r w:rsidRPr="00F40BFC">
        <w:rPr>
          <w:sz w:val="22"/>
          <w:szCs w:val="22"/>
          <w:lang w:val="en-GB"/>
        </w:rPr>
        <w:t xml:space="preserve"> territor</w:t>
      </w:r>
      <w:r w:rsidR="004708DC">
        <w:rPr>
          <w:sz w:val="22"/>
          <w:szCs w:val="22"/>
          <w:lang w:val="en-GB"/>
        </w:rPr>
        <w:t>y</w:t>
      </w:r>
      <w:r w:rsidRPr="00F40BFC">
        <w:rPr>
          <w:sz w:val="22"/>
          <w:szCs w:val="22"/>
          <w:lang w:val="en-GB"/>
        </w:rPr>
        <w:t xml:space="preserve"> o</w:t>
      </w:r>
      <w:r w:rsidR="00F8546F">
        <w:rPr>
          <w:sz w:val="22"/>
          <w:szCs w:val="22"/>
          <w:lang w:val="en-GB"/>
        </w:rPr>
        <w:t>r</w:t>
      </w:r>
      <w:r w:rsidRPr="00F40BFC">
        <w:rPr>
          <w:sz w:val="22"/>
          <w:szCs w:val="22"/>
          <w:lang w:val="en-GB"/>
        </w:rPr>
        <w:t xml:space="preserve"> region </w:t>
      </w:r>
      <w:r w:rsidR="004708DC">
        <w:rPr>
          <w:sz w:val="22"/>
          <w:szCs w:val="22"/>
          <w:lang w:val="en-GB"/>
        </w:rPr>
        <w:t xml:space="preserve">mentioned as eligible </w:t>
      </w:r>
      <w:r w:rsidRPr="00F40BFC">
        <w:rPr>
          <w:sz w:val="22"/>
          <w:szCs w:val="22"/>
          <w:lang w:val="en-GB"/>
        </w:rPr>
        <w:t xml:space="preserve">by the </w:t>
      </w:r>
      <w:r w:rsidR="00261223">
        <w:rPr>
          <w:sz w:val="22"/>
          <w:szCs w:val="22"/>
          <w:lang w:val="en-GB"/>
        </w:rPr>
        <w:t xml:space="preserve">relevant </w:t>
      </w:r>
      <w:r w:rsidR="004708DC">
        <w:rPr>
          <w:sz w:val="22"/>
          <w:szCs w:val="22"/>
          <w:lang w:val="en-GB"/>
        </w:rPr>
        <w:t xml:space="preserve">regulation/basic act </w:t>
      </w:r>
      <w:r w:rsidRPr="00F40BFC">
        <w:rPr>
          <w:sz w:val="22"/>
          <w:szCs w:val="22"/>
          <w:lang w:val="en-GB"/>
        </w:rPr>
        <w:t xml:space="preserve">governing </w:t>
      </w:r>
      <w:r w:rsidR="004708DC">
        <w:rPr>
          <w:sz w:val="22"/>
          <w:szCs w:val="22"/>
          <w:lang w:val="en-GB"/>
        </w:rPr>
        <w:t xml:space="preserve">the eligibility rules for </w:t>
      </w:r>
      <w:r w:rsidRPr="00F40BFC">
        <w:rPr>
          <w:sz w:val="22"/>
          <w:szCs w:val="22"/>
          <w:lang w:val="en-GB"/>
        </w:rPr>
        <w:t>the grant</w:t>
      </w:r>
      <w:r w:rsidR="00261223">
        <w:rPr>
          <w:sz w:val="22"/>
          <w:szCs w:val="22"/>
          <w:lang w:val="en-GB"/>
        </w:rPr>
        <w:t xml:space="preserve"> </w:t>
      </w:r>
      <w:r w:rsidR="009C5A9B">
        <w:rPr>
          <w:sz w:val="22"/>
          <w:szCs w:val="22"/>
          <w:lang w:val="en-GB"/>
        </w:rPr>
        <w:t>as per</w:t>
      </w:r>
      <w:r w:rsidR="00261223">
        <w:rPr>
          <w:sz w:val="22"/>
          <w:szCs w:val="22"/>
          <w:lang w:val="en-GB"/>
        </w:rPr>
        <w:t xml:space="preserve"> Annex</w:t>
      </w:r>
      <w:r w:rsidR="009C5A9B">
        <w:rPr>
          <w:sz w:val="22"/>
          <w:szCs w:val="22"/>
          <w:lang w:val="en-GB"/>
        </w:rPr>
        <w:t>es</w:t>
      </w:r>
      <w:r w:rsidR="00261223">
        <w:rPr>
          <w:sz w:val="22"/>
          <w:szCs w:val="22"/>
          <w:lang w:val="en-GB"/>
        </w:rPr>
        <w:t xml:space="preserve"> a2a </w:t>
      </w:r>
      <w:r w:rsidR="009C5A9B">
        <w:rPr>
          <w:sz w:val="22"/>
          <w:szCs w:val="22"/>
          <w:lang w:val="en-GB"/>
        </w:rPr>
        <w:t xml:space="preserve">to a2c </w:t>
      </w:r>
      <w:r w:rsidR="00261223">
        <w:rPr>
          <w:sz w:val="22"/>
          <w:szCs w:val="22"/>
          <w:lang w:val="en-GB"/>
        </w:rPr>
        <w:t>to the Practical Guide</w:t>
      </w:r>
      <w:r w:rsidRPr="00F40BFC">
        <w:rPr>
          <w:sz w:val="22"/>
          <w:szCs w:val="22"/>
          <w:lang w:val="en-GB"/>
        </w:rPr>
        <w:t>.</w:t>
      </w:r>
      <w:r w:rsidR="00F40BFC">
        <w:rPr>
          <w:sz w:val="22"/>
          <w:szCs w:val="22"/>
          <w:lang w:val="en-GB"/>
        </w:rPr>
        <w:t xml:space="preserve"> </w:t>
      </w:r>
      <w:r w:rsidRPr="00F40BFC">
        <w:rPr>
          <w:sz w:val="22"/>
          <w:szCs w:val="22"/>
          <w:lang w:val="en-GB"/>
        </w:rPr>
        <w:t xml:space="preserve">Tenderers must state </w:t>
      </w:r>
      <w:r w:rsidR="00A84AC9">
        <w:rPr>
          <w:sz w:val="22"/>
          <w:szCs w:val="22"/>
          <w:lang w:val="en-GB"/>
        </w:rPr>
        <w:t xml:space="preserve">their nationality </w:t>
      </w:r>
      <w:r w:rsidRPr="00F40BFC">
        <w:rPr>
          <w:sz w:val="22"/>
          <w:szCs w:val="22"/>
          <w:lang w:val="en-GB"/>
        </w:rPr>
        <w:t>in the</w:t>
      </w:r>
      <w:r w:rsidR="00744420">
        <w:rPr>
          <w:sz w:val="22"/>
          <w:szCs w:val="22"/>
          <w:lang w:val="en-GB"/>
        </w:rPr>
        <w:t>ir</w:t>
      </w:r>
      <w:r w:rsidRPr="00F40BFC">
        <w:rPr>
          <w:sz w:val="22"/>
          <w:szCs w:val="22"/>
          <w:lang w:val="en-GB"/>
        </w:rPr>
        <w:t xml:space="preserve"> tender</w:t>
      </w:r>
      <w:r w:rsidR="00744420">
        <w:rPr>
          <w:sz w:val="22"/>
          <w:szCs w:val="22"/>
          <w:lang w:val="en-GB"/>
        </w:rPr>
        <w:t>s</w:t>
      </w:r>
      <w:r w:rsidR="00D457D7">
        <w:rPr>
          <w:sz w:val="22"/>
          <w:szCs w:val="22"/>
          <w:lang w:val="en-GB"/>
        </w:rPr>
        <w:t xml:space="preserve"> a</w:t>
      </w:r>
      <w:r w:rsidR="00A84AC9">
        <w:rPr>
          <w:sz w:val="22"/>
          <w:szCs w:val="22"/>
          <w:lang w:val="en-GB"/>
        </w:rPr>
        <w:t>nd provide</w:t>
      </w:r>
      <w:r w:rsidRPr="00F40BFC">
        <w:rPr>
          <w:sz w:val="22"/>
          <w:szCs w:val="22"/>
          <w:lang w:val="en-GB"/>
        </w:rPr>
        <w:t xml:space="preserve"> the usual proof of nationality under their national legislation.</w:t>
      </w:r>
    </w:p>
    <w:p w:rsidR="00B56131" w:rsidRDefault="00B56131" w:rsidP="00E402F6">
      <w:pPr>
        <w:rPr>
          <w:sz w:val="22"/>
          <w:szCs w:val="22"/>
          <w:lang w:val="en-GB"/>
        </w:rPr>
      </w:pPr>
      <w:r w:rsidRPr="00F40BFC">
        <w:rPr>
          <w:sz w:val="22"/>
          <w:szCs w:val="22"/>
          <w:lang w:val="en-GB"/>
        </w:rPr>
        <w:t xml:space="preserve">This rule </w:t>
      </w:r>
      <w:r w:rsidR="00F40BFC">
        <w:rPr>
          <w:sz w:val="22"/>
          <w:szCs w:val="22"/>
          <w:lang w:val="en-GB"/>
        </w:rPr>
        <w:t>does not</w:t>
      </w:r>
      <w:r w:rsidRPr="00F40BFC">
        <w:rPr>
          <w:sz w:val="22"/>
          <w:szCs w:val="22"/>
          <w:lang w:val="en-GB"/>
        </w:rPr>
        <w:t xml:space="preserve"> appl</w:t>
      </w:r>
      <w:r w:rsidR="00F40BFC">
        <w:rPr>
          <w:sz w:val="22"/>
          <w:szCs w:val="22"/>
          <w:lang w:val="en-GB"/>
        </w:rPr>
        <w:t>y</w:t>
      </w:r>
      <w:r w:rsidRPr="00F40BFC">
        <w:rPr>
          <w:sz w:val="22"/>
          <w:szCs w:val="22"/>
          <w:lang w:val="en-GB"/>
        </w:rPr>
        <w:t xml:space="preserve"> to the experts proposed </w:t>
      </w:r>
      <w:r w:rsidR="00744420">
        <w:rPr>
          <w:sz w:val="22"/>
          <w:szCs w:val="22"/>
          <w:lang w:val="en-GB"/>
        </w:rPr>
        <w:t xml:space="preserve">under </w:t>
      </w:r>
      <w:r w:rsidRPr="00F40BFC">
        <w:rPr>
          <w:sz w:val="22"/>
          <w:szCs w:val="22"/>
          <w:lang w:val="en-GB"/>
        </w:rPr>
        <w:t>service tender</w:t>
      </w:r>
      <w:r w:rsidR="00744420">
        <w:rPr>
          <w:sz w:val="22"/>
          <w:szCs w:val="22"/>
          <w:lang w:val="en-GB"/>
        </w:rPr>
        <w:t xml:space="preserve">s </w:t>
      </w:r>
      <w:r w:rsidRPr="00F40BFC">
        <w:rPr>
          <w:sz w:val="22"/>
          <w:szCs w:val="22"/>
          <w:lang w:val="en-GB"/>
        </w:rPr>
        <w:t xml:space="preserve">financed by the grant. </w:t>
      </w:r>
    </w:p>
    <w:p w:rsidR="00B56131" w:rsidRPr="00F40BFC" w:rsidRDefault="00B56131" w:rsidP="00830C69">
      <w:pPr>
        <w:pStyle w:val="Heading2"/>
      </w:pPr>
      <w:r w:rsidRPr="00F40BFC">
        <w:t>The rule of origin</w:t>
      </w:r>
    </w:p>
    <w:p w:rsidR="00022C50" w:rsidRDefault="00022C50" w:rsidP="002B7C11">
      <w:pPr>
        <w:rPr>
          <w:sz w:val="22"/>
          <w:szCs w:val="22"/>
          <w:lang w:val="en-GB"/>
        </w:rPr>
      </w:pPr>
      <w:r>
        <w:rPr>
          <w:sz w:val="22"/>
          <w:szCs w:val="22"/>
          <w:lang w:val="en-GB"/>
        </w:rPr>
        <w:t xml:space="preserve">If the basic act or the other </w:t>
      </w:r>
      <w:r w:rsidR="00744420">
        <w:rPr>
          <w:sz w:val="22"/>
          <w:szCs w:val="22"/>
          <w:lang w:val="en-GB"/>
        </w:rPr>
        <w:t xml:space="preserve">applicable </w:t>
      </w:r>
      <w:r>
        <w:rPr>
          <w:sz w:val="22"/>
          <w:szCs w:val="22"/>
          <w:lang w:val="en-GB"/>
        </w:rPr>
        <w:t xml:space="preserve">instruments </w:t>
      </w:r>
      <w:r w:rsidR="00744420">
        <w:rPr>
          <w:sz w:val="22"/>
          <w:szCs w:val="22"/>
          <w:lang w:val="en-GB"/>
        </w:rPr>
        <w:t>so require</w:t>
      </w:r>
      <w:r>
        <w:rPr>
          <w:sz w:val="22"/>
          <w:szCs w:val="22"/>
          <w:lang w:val="en-GB"/>
        </w:rPr>
        <w:t xml:space="preserve">, the tenderer must </w:t>
      </w:r>
      <w:r w:rsidR="00744420">
        <w:rPr>
          <w:sz w:val="22"/>
          <w:szCs w:val="22"/>
          <w:lang w:val="en-GB"/>
        </w:rPr>
        <w:t xml:space="preserve">prove </w:t>
      </w:r>
      <w:r>
        <w:rPr>
          <w:sz w:val="22"/>
          <w:szCs w:val="22"/>
          <w:lang w:val="en-GB"/>
        </w:rPr>
        <w:t>the origin</w:t>
      </w:r>
      <w:r w:rsidR="00637021">
        <w:rPr>
          <w:rStyle w:val="FootnoteReference"/>
          <w:sz w:val="22"/>
          <w:szCs w:val="22"/>
          <w:lang w:val="en-GB"/>
        </w:rPr>
        <w:footnoteReference w:id="1"/>
      </w:r>
      <w:r>
        <w:rPr>
          <w:sz w:val="22"/>
          <w:szCs w:val="22"/>
          <w:lang w:val="en-GB"/>
        </w:rPr>
        <w:t xml:space="preserve"> of </w:t>
      </w:r>
      <w:r w:rsidR="00744420">
        <w:rPr>
          <w:sz w:val="22"/>
          <w:szCs w:val="22"/>
          <w:lang w:val="en-GB"/>
        </w:rPr>
        <w:t xml:space="preserve">the </w:t>
      </w:r>
      <w:r>
        <w:rPr>
          <w:sz w:val="22"/>
          <w:szCs w:val="22"/>
          <w:lang w:val="en-GB"/>
        </w:rPr>
        <w:t>supplies</w:t>
      </w:r>
      <w:r w:rsidR="00744420">
        <w:rPr>
          <w:sz w:val="22"/>
          <w:szCs w:val="22"/>
          <w:lang w:val="en-GB"/>
        </w:rPr>
        <w:t xml:space="preserve"> acquired under the grant</w:t>
      </w:r>
      <w:r>
        <w:rPr>
          <w:sz w:val="22"/>
          <w:szCs w:val="22"/>
          <w:lang w:val="en-GB"/>
        </w:rPr>
        <w:t xml:space="preserve">. </w:t>
      </w:r>
      <w:r w:rsidR="00637021">
        <w:rPr>
          <w:sz w:val="22"/>
          <w:szCs w:val="22"/>
          <w:lang w:val="en-GB"/>
        </w:rPr>
        <w:t>Where rules of origin need to be respected</w:t>
      </w:r>
      <w:r w:rsidR="004F10B8">
        <w:rPr>
          <w:rStyle w:val="FootnoteReference"/>
          <w:sz w:val="22"/>
          <w:szCs w:val="22"/>
          <w:lang w:val="en-GB"/>
        </w:rPr>
        <w:footnoteReference w:id="2"/>
      </w:r>
      <w:r w:rsidR="00637021">
        <w:rPr>
          <w:sz w:val="22"/>
          <w:szCs w:val="22"/>
          <w:lang w:val="en-GB"/>
        </w:rPr>
        <w:t xml:space="preserve">, </w:t>
      </w:r>
      <w:r w:rsidR="00A43FDE">
        <w:rPr>
          <w:sz w:val="22"/>
          <w:szCs w:val="22"/>
          <w:lang w:val="en-GB"/>
        </w:rPr>
        <w:t>c</w:t>
      </w:r>
      <w:r>
        <w:rPr>
          <w:sz w:val="22"/>
          <w:szCs w:val="22"/>
          <w:lang w:val="en-GB"/>
        </w:rPr>
        <w:t xml:space="preserve">ontractors must present proof of origin to the </w:t>
      </w:r>
      <w:r w:rsidR="003526FA">
        <w:rPr>
          <w:sz w:val="22"/>
          <w:szCs w:val="22"/>
          <w:lang w:val="en-GB"/>
        </w:rPr>
        <w:t>Beneficiary(ies)</w:t>
      </w:r>
      <w:r w:rsidR="003526FA" w:rsidRPr="003526FA">
        <w:rPr>
          <w:sz w:val="22"/>
          <w:szCs w:val="22"/>
          <w:lang w:val="en-GB"/>
        </w:rPr>
        <w:t xml:space="preserve"> </w:t>
      </w:r>
      <w:r w:rsidR="00CD3A62">
        <w:rPr>
          <w:sz w:val="22"/>
          <w:szCs w:val="22"/>
          <w:lang w:val="en-GB"/>
        </w:rPr>
        <w:t xml:space="preserve">at the latest when the first invoice is presented. </w:t>
      </w:r>
      <w:r>
        <w:rPr>
          <w:sz w:val="22"/>
          <w:szCs w:val="22"/>
          <w:lang w:val="en-GB"/>
        </w:rPr>
        <w:t xml:space="preserve">The </w:t>
      </w:r>
      <w:r>
        <w:rPr>
          <w:sz w:val="22"/>
          <w:szCs w:val="22"/>
          <w:lang w:val="en-GB"/>
        </w:rPr>
        <w:lastRenderedPageBreak/>
        <w:t xml:space="preserve">certificate of origin must be made out by the competent authorities of the country of origin of the supplies and must comply with the rules laid down by the relevant </w:t>
      </w:r>
      <w:r w:rsidR="00AA34FB">
        <w:rPr>
          <w:sz w:val="22"/>
          <w:szCs w:val="22"/>
          <w:lang w:val="en-GB"/>
        </w:rPr>
        <w:t xml:space="preserve">Union </w:t>
      </w:r>
      <w:r>
        <w:rPr>
          <w:sz w:val="22"/>
          <w:szCs w:val="22"/>
          <w:lang w:val="en-GB"/>
        </w:rPr>
        <w:t>legislation.</w:t>
      </w:r>
    </w:p>
    <w:p w:rsidR="00B56131" w:rsidRPr="00F40BFC" w:rsidRDefault="00B56131" w:rsidP="00830C69">
      <w:pPr>
        <w:pStyle w:val="Heading2"/>
      </w:pPr>
      <w:r w:rsidRPr="00F40BFC">
        <w:t>Exceptions to the rules on nationality and origin</w:t>
      </w:r>
    </w:p>
    <w:p w:rsidR="00B56131" w:rsidRPr="00F40BFC" w:rsidRDefault="00B56131" w:rsidP="00E402F6">
      <w:pPr>
        <w:rPr>
          <w:sz w:val="22"/>
          <w:szCs w:val="22"/>
          <w:lang w:val="en-GB"/>
        </w:rPr>
      </w:pPr>
      <w:r w:rsidRPr="00F40BFC">
        <w:rPr>
          <w:sz w:val="22"/>
          <w:szCs w:val="22"/>
          <w:lang w:val="en-GB"/>
        </w:rPr>
        <w:t>Where an agreement on widening the market for procurement of goods</w:t>
      </w:r>
      <w:r w:rsidR="005950DD">
        <w:rPr>
          <w:sz w:val="22"/>
          <w:szCs w:val="22"/>
          <w:lang w:val="en-GB"/>
        </w:rPr>
        <w:t>, works</w:t>
      </w:r>
      <w:r w:rsidRPr="00F40BFC">
        <w:rPr>
          <w:sz w:val="22"/>
          <w:szCs w:val="22"/>
          <w:lang w:val="en-GB"/>
        </w:rPr>
        <w:t xml:space="preserve"> or services applies,</w:t>
      </w:r>
      <w:r w:rsidR="00A43FDE">
        <w:rPr>
          <w:sz w:val="22"/>
          <w:szCs w:val="22"/>
          <w:lang w:val="en-GB"/>
        </w:rPr>
        <w:t xml:space="preserve"> access</w:t>
      </w:r>
      <w:r w:rsidRPr="00F40BFC">
        <w:rPr>
          <w:sz w:val="22"/>
          <w:szCs w:val="22"/>
          <w:lang w:val="en-GB"/>
        </w:rPr>
        <w:t xml:space="preserve"> must also be open to nationals </w:t>
      </w:r>
      <w:r w:rsidR="00A43FDE">
        <w:rPr>
          <w:sz w:val="22"/>
          <w:szCs w:val="22"/>
          <w:lang w:val="en-GB"/>
        </w:rPr>
        <w:t xml:space="preserve">and goods originating from </w:t>
      </w:r>
      <w:r w:rsidRPr="00F40BFC">
        <w:rPr>
          <w:sz w:val="22"/>
          <w:szCs w:val="22"/>
          <w:lang w:val="en-GB"/>
        </w:rPr>
        <w:t>other countries under the conditions laid down in that agreement.</w:t>
      </w:r>
    </w:p>
    <w:p w:rsidR="00B56131" w:rsidRPr="00F40BFC" w:rsidRDefault="00B56131" w:rsidP="00E402F6">
      <w:pPr>
        <w:rPr>
          <w:sz w:val="22"/>
          <w:szCs w:val="22"/>
          <w:lang w:val="en-GB"/>
        </w:rPr>
      </w:pPr>
      <w:r w:rsidRPr="00F40BFC">
        <w:rPr>
          <w:sz w:val="22"/>
          <w:szCs w:val="22"/>
          <w:lang w:val="en-GB"/>
        </w:rPr>
        <w:t>In addition, in duly substantiated exceptional cases</w:t>
      </w:r>
      <w:r w:rsidR="00A43FDE">
        <w:rPr>
          <w:sz w:val="22"/>
          <w:szCs w:val="22"/>
          <w:lang w:val="en-GB"/>
        </w:rPr>
        <w:t xml:space="preserve"> foreseen by the applicable regulations</w:t>
      </w:r>
      <w:r w:rsidRPr="00F40BFC">
        <w:rPr>
          <w:sz w:val="22"/>
          <w:szCs w:val="22"/>
          <w:lang w:val="en-GB"/>
        </w:rPr>
        <w:t xml:space="preserve">, </w:t>
      </w:r>
      <w:r w:rsidR="009B7801">
        <w:rPr>
          <w:sz w:val="22"/>
          <w:szCs w:val="22"/>
          <w:lang w:val="en-GB"/>
        </w:rPr>
        <w:t xml:space="preserve">in order to </w:t>
      </w:r>
      <w:r w:rsidR="00A43FDE">
        <w:rPr>
          <w:sz w:val="22"/>
          <w:szCs w:val="22"/>
          <w:lang w:val="en-GB"/>
        </w:rPr>
        <w:t>give access to</w:t>
      </w:r>
      <w:r w:rsidR="00A43FDE" w:rsidRPr="00F40BFC">
        <w:rPr>
          <w:sz w:val="22"/>
          <w:szCs w:val="22"/>
          <w:lang w:val="en-GB"/>
        </w:rPr>
        <w:t xml:space="preserve"> </w:t>
      </w:r>
      <w:r w:rsidRPr="00F40BFC">
        <w:rPr>
          <w:sz w:val="22"/>
          <w:szCs w:val="22"/>
          <w:lang w:val="en-GB"/>
        </w:rPr>
        <w:t xml:space="preserve">nationals </w:t>
      </w:r>
      <w:r w:rsidR="00A43FDE">
        <w:rPr>
          <w:sz w:val="22"/>
          <w:szCs w:val="22"/>
          <w:lang w:val="en-GB"/>
        </w:rPr>
        <w:t>or goods originating from</w:t>
      </w:r>
      <w:r w:rsidRPr="00F40BFC">
        <w:rPr>
          <w:sz w:val="22"/>
          <w:szCs w:val="22"/>
          <w:lang w:val="en-GB"/>
        </w:rPr>
        <w:t xml:space="preserve"> countries other than those referred to in section</w:t>
      </w:r>
      <w:r w:rsidR="002F27D2">
        <w:rPr>
          <w:sz w:val="22"/>
          <w:szCs w:val="22"/>
          <w:lang w:val="en-GB"/>
        </w:rPr>
        <w:t>s</w:t>
      </w:r>
      <w:r w:rsidR="009D57C8">
        <w:rPr>
          <w:sz w:val="22"/>
          <w:szCs w:val="22"/>
          <w:lang w:val="en-GB"/>
        </w:rPr>
        <w:t xml:space="preserve"> 2.1</w:t>
      </w:r>
      <w:r w:rsidR="002F27D2">
        <w:rPr>
          <w:sz w:val="22"/>
          <w:szCs w:val="22"/>
          <w:lang w:val="en-GB"/>
        </w:rPr>
        <w:t xml:space="preserve"> and 2.2</w:t>
      </w:r>
      <w:r w:rsidR="009B7801">
        <w:rPr>
          <w:sz w:val="22"/>
          <w:szCs w:val="22"/>
          <w:lang w:val="en-GB"/>
        </w:rPr>
        <w:t>, a derogation by the European Commission must be sought</w:t>
      </w:r>
      <w:r w:rsidR="001A1956">
        <w:rPr>
          <w:sz w:val="22"/>
          <w:szCs w:val="22"/>
          <w:lang w:val="en-GB"/>
        </w:rPr>
        <w:t xml:space="preserve"> prior to the launch of the procedures.</w:t>
      </w:r>
      <w:r w:rsidR="009B7801">
        <w:rPr>
          <w:sz w:val="22"/>
          <w:szCs w:val="22"/>
          <w:lang w:val="en-GB"/>
        </w:rPr>
        <w:t>.</w:t>
      </w:r>
    </w:p>
    <w:p w:rsidR="00B56131" w:rsidRPr="00F40BFC" w:rsidRDefault="00B56131" w:rsidP="00830C69">
      <w:pPr>
        <w:pStyle w:val="Heading2"/>
      </w:pPr>
      <w:r w:rsidRPr="00F40BFC">
        <w:t>Grounds for exclusion from participation in procurement</w:t>
      </w:r>
    </w:p>
    <w:p w:rsidR="00B56131" w:rsidRPr="00F40BFC" w:rsidRDefault="00B56131" w:rsidP="00E402F6">
      <w:pPr>
        <w:spacing w:after="120"/>
        <w:rPr>
          <w:sz w:val="22"/>
          <w:szCs w:val="22"/>
          <w:lang w:val="en-GB"/>
        </w:rPr>
      </w:pPr>
      <w:r w:rsidRPr="00F40BFC">
        <w:rPr>
          <w:sz w:val="22"/>
          <w:szCs w:val="22"/>
          <w:lang w:val="en-GB"/>
        </w:rPr>
        <w:t xml:space="preserve">Candidates or tenderers will be excluded from </w:t>
      </w:r>
      <w:r w:rsidR="00A43FDE">
        <w:rPr>
          <w:sz w:val="22"/>
          <w:szCs w:val="22"/>
          <w:lang w:val="en-GB"/>
        </w:rPr>
        <w:t xml:space="preserve">taking part </w:t>
      </w:r>
      <w:r w:rsidRPr="00F40BFC">
        <w:rPr>
          <w:sz w:val="22"/>
          <w:szCs w:val="22"/>
          <w:lang w:val="en-GB"/>
        </w:rPr>
        <w:t>in a procurement procedure if:</w:t>
      </w:r>
    </w:p>
    <w:p w:rsidR="00B56131" w:rsidRPr="009B47E3" w:rsidRDefault="00B56131" w:rsidP="00E402F6">
      <w:pPr>
        <w:pStyle w:val="ListNumber"/>
        <w:rPr>
          <w:sz w:val="22"/>
          <w:szCs w:val="22"/>
          <w:lang w:val="en-GB"/>
        </w:rPr>
      </w:pPr>
      <w:r w:rsidRPr="009B47E3">
        <w:rPr>
          <w:sz w:val="22"/>
          <w:szCs w:val="22"/>
          <w:lang w:val="en-GB"/>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w:t>
      </w:r>
      <w:r w:rsidR="002C7B83" w:rsidRPr="009B47E3">
        <w:rPr>
          <w:sz w:val="22"/>
          <w:szCs w:val="22"/>
          <w:lang w:val="en-GB"/>
        </w:rPr>
        <w:t>nal legislation or regulations;</w:t>
      </w:r>
    </w:p>
    <w:p w:rsidR="00B56131" w:rsidRPr="009B47E3" w:rsidRDefault="00B56131" w:rsidP="007B0F02">
      <w:pPr>
        <w:pStyle w:val="ListNumber"/>
        <w:rPr>
          <w:sz w:val="22"/>
          <w:szCs w:val="22"/>
          <w:lang w:val="en-GB"/>
        </w:rPr>
      </w:pPr>
      <w:r w:rsidRPr="009B47E3">
        <w:rPr>
          <w:sz w:val="22"/>
          <w:szCs w:val="22"/>
          <w:lang w:val="en-GB"/>
        </w:rPr>
        <w:t xml:space="preserve">they </w:t>
      </w:r>
      <w:r w:rsidR="008A5AC0">
        <w:rPr>
          <w:sz w:val="22"/>
          <w:szCs w:val="22"/>
          <w:lang w:val="en-GB"/>
        </w:rPr>
        <w:t xml:space="preserve">or persons having powers of representation, decision-making or control over them </w:t>
      </w:r>
      <w:r w:rsidRPr="009B47E3">
        <w:rPr>
          <w:sz w:val="22"/>
          <w:szCs w:val="22"/>
          <w:lang w:val="en-GB"/>
        </w:rPr>
        <w:t xml:space="preserve">have been convicted of an offence concerning their professional conduct by a judgment </w:t>
      </w:r>
      <w:r w:rsidR="008A5AC0">
        <w:rPr>
          <w:sz w:val="22"/>
          <w:szCs w:val="22"/>
          <w:lang w:val="en-GB"/>
        </w:rPr>
        <w:t xml:space="preserve">of a competent authority  </w:t>
      </w:r>
      <w:r w:rsidRPr="009B47E3">
        <w:rPr>
          <w:sz w:val="22"/>
          <w:szCs w:val="22"/>
          <w:lang w:val="en-GB"/>
        </w:rPr>
        <w:t>which</w:t>
      </w:r>
      <w:r w:rsidR="002C7B83" w:rsidRPr="009B47E3">
        <w:rPr>
          <w:sz w:val="22"/>
          <w:szCs w:val="22"/>
          <w:lang w:val="en-GB"/>
        </w:rPr>
        <w:t xml:space="preserve"> has the force of </w:t>
      </w:r>
      <w:r w:rsidR="002C7B83" w:rsidRPr="009B47E3">
        <w:rPr>
          <w:i/>
          <w:sz w:val="22"/>
          <w:szCs w:val="22"/>
          <w:lang w:val="en-GB"/>
        </w:rPr>
        <w:t>res judicata</w:t>
      </w:r>
      <w:r w:rsidR="002C7B83" w:rsidRPr="009B47E3">
        <w:rPr>
          <w:sz w:val="22"/>
          <w:szCs w:val="22"/>
          <w:lang w:val="en-GB"/>
        </w:rPr>
        <w:t>;</w:t>
      </w:r>
    </w:p>
    <w:p w:rsidR="00B56131" w:rsidRPr="009B47E3" w:rsidRDefault="00B56131" w:rsidP="00E402F6">
      <w:pPr>
        <w:pStyle w:val="ListNumber"/>
        <w:rPr>
          <w:sz w:val="22"/>
          <w:szCs w:val="22"/>
          <w:lang w:val="en-GB"/>
        </w:rPr>
      </w:pPr>
      <w:r w:rsidRPr="009B47E3">
        <w:rPr>
          <w:sz w:val="22"/>
          <w:szCs w:val="22"/>
          <w:lang w:val="en-GB"/>
        </w:rPr>
        <w:t>they have been guilty of grave professional misconduct proven by any means whi</w:t>
      </w:r>
      <w:r w:rsidR="002C7B83" w:rsidRPr="009B47E3">
        <w:rPr>
          <w:sz w:val="22"/>
          <w:szCs w:val="22"/>
          <w:lang w:val="en-GB"/>
        </w:rPr>
        <w:t>ch the Beneficiary</w:t>
      </w:r>
      <w:r w:rsidR="0024553A">
        <w:rPr>
          <w:sz w:val="22"/>
          <w:szCs w:val="22"/>
          <w:lang w:val="en-GB"/>
        </w:rPr>
        <w:t>(ies)</w:t>
      </w:r>
      <w:r w:rsidR="002C7B83" w:rsidRPr="009B47E3">
        <w:rPr>
          <w:sz w:val="22"/>
          <w:szCs w:val="22"/>
          <w:lang w:val="en-GB"/>
        </w:rPr>
        <w:t xml:space="preserve"> can justify;</w:t>
      </w:r>
    </w:p>
    <w:p w:rsidR="00B56131" w:rsidRPr="009B47E3" w:rsidRDefault="00B56131" w:rsidP="00E402F6">
      <w:pPr>
        <w:pStyle w:val="ListNumber"/>
        <w:rPr>
          <w:sz w:val="22"/>
          <w:szCs w:val="22"/>
          <w:lang w:val="en-GB"/>
        </w:rPr>
      </w:pPr>
      <w:r w:rsidRPr="009B47E3">
        <w:rPr>
          <w:sz w:val="22"/>
          <w:szCs w:val="22"/>
          <w:lang w:val="en-GB"/>
        </w:rPr>
        <w:t>they have not fulfilled obligations relating to the payment of social security contributions or the payment of taxes in accordance with the legal provisions of the country in which they are established or with those of the country of the Beneficiary</w:t>
      </w:r>
      <w:r w:rsidR="0024553A">
        <w:rPr>
          <w:sz w:val="22"/>
          <w:szCs w:val="22"/>
          <w:lang w:val="en-GB"/>
        </w:rPr>
        <w:t>(ies)</w:t>
      </w:r>
      <w:r w:rsidRPr="009B47E3">
        <w:rPr>
          <w:sz w:val="22"/>
          <w:szCs w:val="22"/>
          <w:lang w:val="en-GB"/>
        </w:rPr>
        <w:t xml:space="preserve"> or those of the country where t</w:t>
      </w:r>
      <w:r w:rsidR="002C7B83" w:rsidRPr="009B47E3">
        <w:rPr>
          <w:sz w:val="22"/>
          <w:szCs w:val="22"/>
          <w:lang w:val="en-GB"/>
        </w:rPr>
        <w:t>he contract is to be performed;</w:t>
      </w:r>
    </w:p>
    <w:p w:rsidR="008A5AC0" w:rsidRDefault="008A5AC0" w:rsidP="004742EC">
      <w:pPr>
        <w:pStyle w:val="ListNumber"/>
        <w:rPr>
          <w:rStyle w:val="Style11pt1"/>
          <w:lang w:val="en-GB"/>
        </w:rPr>
      </w:pPr>
      <w:r>
        <w:rPr>
          <w:rStyle w:val="Style11pt1"/>
          <w:lang w:val="en-GB"/>
        </w:rPr>
        <w:t xml:space="preserve">they are not in compliance with their obligations relating to the payment of social security contributions or the payment of taxes in accordance with the legal provisions of the country in which they are established or with those of the country of the </w:t>
      </w:r>
      <w:r w:rsidR="004742EC">
        <w:rPr>
          <w:rStyle w:val="Style11pt1"/>
          <w:lang w:val="en-GB"/>
        </w:rPr>
        <w:t>contracting authority</w:t>
      </w:r>
      <w:r>
        <w:rPr>
          <w:rStyle w:val="Style11pt1"/>
          <w:lang w:val="en-GB"/>
        </w:rPr>
        <w:t xml:space="preserve"> or those of the country where the contract is to be performed.</w:t>
      </w:r>
    </w:p>
    <w:p w:rsidR="00B56131" w:rsidRPr="009B47E3" w:rsidRDefault="00F44470" w:rsidP="00E402F6">
      <w:pPr>
        <w:pStyle w:val="ListNumber"/>
        <w:rPr>
          <w:sz w:val="22"/>
          <w:szCs w:val="22"/>
          <w:lang w:val="en-GB"/>
        </w:rPr>
      </w:pPr>
      <w:r w:rsidRPr="00553B2F">
        <w:rPr>
          <w:rStyle w:val="Style11pt1"/>
          <w:lang w:val="en-GB"/>
        </w:rPr>
        <w:t>they or persons having powers of representation, decision making or control over them</w:t>
      </w:r>
      <w:r w:rsidR="00B56131" w:rsidRPr="009B47E3">
        <w:rPr>
          <w:sz w:val="22"/>
          <w:szCs w:val="22"/>
          <w:lang w:val="en-GB"/>
        </w:rPr>
        <w:t xml:space="preserve"> have been the subject of a judgment which has the force of </w:t>
      </w:r>
      <w:r w:rsidR="00B56131" w:rsidRPr="009B47E3">
        <w:rPr>
          <w:i/>
          <w:sz w:val="22"/>
          <w:szCs w:val="22"/>
          <w:lang w:val="en-GB"/>
        </w:rPr>
        <w:t>res judicata</w:t>
      </w:r>
      <w:r w:rsidR="00B56131" w:rsidRPr="009B47E3">
        <w:rPr>
          <w:sz w:val="22"/>
          <w:szCs w:val="22"/>
          <w:lang w:val="en-GB"/>
        </w:rPr>
        <w:t xml:space="preserve"> for fraud, corruption, involvement in a criminal organisation</w:t>
      </w:r>
      <w:r>
        <w:rPr>
          <w:sz w:val="22"/>
          <w:szCs w:val="22"/>
          <w:lang w:val="en-GB"/>
        </w:rPr>
        <w:t>, money laundering</w:t>
      </w:r>
      <w:r w:rsidR="00B56131" w:rsidRPr="009B47E3">
        <w:rPr>
          <w:sz w:val="22"/>
          <w:szCs w:val="22"/>
          <w:lang w:val="en-GB"/>
        </w:rPr>
        <w:t xml:space="preserve"> or any other illegal activity</w:t>
      </w:r>
      <w:r w:rsidR="008A5AC0">
        <w:rPr>
          <w:sz w:val="22"/>
          <w:szCs w:val="22"/>
          <w:lang w:val="en-GB"/>
        </w:rPr>
        <w:t>, where such illegal activity is</w:t>
      </w:r>
      <w:r w:rsidR="00B56131" w:rsidRPr="009B47E3">
        <w:rPr>
          <w:sz w:val="22"/>
          <w:szCs w:val="22"/>
          <w:lang w:val="en-GB"/>
        </w:rPr>
        <w:t xml:space="preserve"> detrimental to the </w:t>
      </w:r>
      <w:r>
        <w:rPr>
          <w:sz w:val="22"/>
          <w:szCs w:val="22"/>
          <w:lang w:val="en-GB"/>
        </w:rPr>
        <w:t>EU's</w:t>
      </w:r>
      <w:r w:rsidRPr="009B47E3">
        <w:rPr>
          <w:sz w:val="22"/>
          <w:szCs w:val="22"/>
          <w:lang w:val="en-GB"/>
        </w:rPr>
        <w:t xml:space="preserve"> </w:t>
      </w:r>
      <w:r w:rsidR="002C7B83" w:rsidRPr="009B47E3">
        <w:rPr>
          <w:sz w:val="22"/>
          <w:szCs w:val="22"/>
          <w:lang w:val="en-GB"/>
        </w:rPr>
        <w:t>financial interests;</w:t>
      </w:r>
    </w:p>
    <w:p w:rsidR="00B56131" w:rsidRPr="009B47E3" w:rsidRDefault="009B47E3" w:rsidP="004742EC">
      <w:pPr>
        <w:pStyle w:val="ListNumber"/>
        <w:rPr>
          <w:sz w:val="22"/>
          <w:szCs w:val="22"/>
          <w:lang w:val="en-GB"/>
        </w:rPr>
      </w:pPr>
      <w:r>
        <w:rPr>
          <w:sz w:val="22"/>
          <w:szCs w:val="22"/>
          <w:lang w:val="en-GB"/>
        </w:rPr>
        <w:t>they are currently subject to an administrative penalty referred to in section 2.</w:t>
      </w:r>
      <w:r w:rsidR="003E1CB9">
        <w:rPr>
          <w:sz w:val="22"/>
          <w:szCs w:val="22"/>
          <w:lang w:val="en-GB"/>
        </w:rPr>
        <w:t>3.</w:t>
      </w:r>
      <w:r w:rsidR="009914AA">
        <w:rPr>
          <w:sz w:val="22"/>
          <w:szCs w:val="22"/>
          <w:lang w:val="en-GB"/>
        </w:rPr>
        <w:t>4</w:t>
      </w:r>
      <w:r w:rsidR="003E1CB9">
        <w:rPr>
          <w:sz w:val="22"/>
          <w:szCs w:val="22"/>
          <w:lang w:val="en-GB"/>
        </w:rPr>
        <w:t xml:space="preserve"> </w:t>
      </w:r>
      <w:r>
        <w:rPr>
          <w:sz w:val="22"/>
          <w:szCs w:val="22"/>
          <w:lang w:val="en-GB"/>
        </w:rPr>
        <w:t>of the Practical Guide</w:t>
      </w:r>
    </w:p>
    <w:p w:rsidR="00F44470" w:rsidRDefault="00B56131" w:rsidP="00E402F6">
      <w:pPr>
        <w:rPr>
          <w:sz w:val="22"/>
          <w:szCs w:val="22"/>
          <w:lang w:val="en-GB"/>
        </w:rPr>
      </w:pPr>
      <w:r w:rsidRPr="00F40BFC">
        <w:rPr>
          <w:sz w:val="22"/>
          <w:szCs w:val="22"/>
          <w:lang w:val="en-GB"/>
        </w:rPr>
        <w:t>Candidates or tenderers must certify that they are not in one of the situations listed above.</w:t>
      </w:r>
      <w:r w:rsidR="00F44470">
        <w:rPr>
          <w:sz w:val="22"/>
          <w:szCs w:val="22"/>
          <w:lang w:val="en-GB"/>
        </w:rPr>
        <w:t xml:space="preserve"> </w:t>
      </w:r>
    </w:p>
    <w:p w:rsidR="00B56131" w:rsidRPr="00F44470" w:rsidRDefault="00F44470" w:rsidP="00E402F6">
      <w:pPr>
        <w:rPr>
          <w:sz w:val="22"/>
          <w:szCs w:val="22"/>
          <w:lang w:val="en-GB"/>
        </w:rPr>
      </w:pPr>
      <w:r w:rsidRPr="00F44470">
        <w:rPr>
          <w:sz w:val="22"/>
          <w:szCs w:val="22"/>
          <w:lang w:val="en-GB"/>
        </w:rPr>
        <w:t>Points (</w:t>
      </w:r>
      <w:r w:rsidR="00F35BF2">
        <w:rPr>
          <w:sz w:val="22"/>
          <w:szCs w:val="22"/>
          <w:lang w:val="en-GB"/>
        </w:rPr>
        <w:t>1</w:t>
      </w:r>
      <w:r w:rsidRPr="00F44470">
        <w:rPr>
          <w:sz w:val="22"/>
          <w:szCs w:val="22"/>
          <w:lang w:val="en-GB"/>
        </w:rPr>
        <w:t>) to (</w:t>
      </w:r>
      <w:r w:rsidR="00F35BF2">
        <w:rPr>
          <w:sz w:val="22"/>
          <w:szCs w:val="22"/>
          <w:lang w:val="en-GB"/>
        </w:rPr>
        <w:t>4</w:t>
      </w:r>
      <w:r w:rsidRPr="00F44470">
        <w:rPr>
          <w:sz w:val="22"/>
          <w:szCs w:val="22"/>
          <w:lang w:val="en-GB"/>
        </w:rPr>
        <w:t>) do not apply to the purchase of supplies on particularly advantageous terms from either a supplier which is definitively winding up its business activities, or the receivers or liquidators of a bankruptcy, through an arrangement with creditors, or through a similar procedure under national law</w:t>
      </w:r>
      <w:r w:rsidR="00973253">
        <w:rPr>
          <w:sz w:val="22"/>
          <w:szCs w:val="22"/>
          <w:lang w:val="en-GB"/>
        </w:rPr>
        <w:t>.</w:t>
      </w:r>
    </w:p>
    <w:p w:rsidR="00B56131" w:rsidRPr="00F40BFC" w:rsidRDefault="00B56131" w:rsidP="00830C69">
      <w:pPr>
        <w:pStyle w:val="Heading2"/>
      </w:pPr>
      <w:r w:rsidRPr="00F40BFC">
        <w:t>Exclusion from award of contracts</w:t>
      </w:r>
    </w:p>
    <w:p w:rsidR="00B56131" w:rsidRPr="00F40BFC" w:rsidRDefault="00B56131" w:rsidP="00E402F6">
      <w:pPr>
        <w:spacing w:after="120"/>
        <w:rPr>
          <w:sz w:val="22"/>
          <w:szCs w:val="22"/>
          <w:lang w:val="en-GB"/>
        </w:rPr>
      </w:pPr>
      <w:r w:rsidRPr="00F40BFC">
        <w:rPr>
          <w:sz w:val="22"/>
          <w:szCs w:val="22"/>
          <w:lang w:val="en-GB"/>
        </w:rPr>
        <w:t>Contracts may not be awarded to candidates or tenderers which, during the procurement procedure:</w:t>
      </w:r>
    </w:p>
    <w:p w:rsidR="00B56131" w:rsidRPr="00F40BFC" w:rsidRDefault="00B56131" w:rsidP="00E402F6">
      <w:pPr>
        <w:spacing w:after="120"/>
        <w:ind w:left="426" w:hanging="426"/>
        <w:rPr>
          <w:sz w:val="22"/>
          <w:szCs w:val="22"/>
          <w:lang w:val="en-GB"/>
        </w:rPr>
      </w:pPr>
      <w:r w:rsidRPr="00F40BFC">
        <w:rPr>
          <w:sz w:val="22"/>
          <w:szCs w:val="22"/>
          <w:lang w:val="en-GB"/>
        </w:rPr>
        <w:lastRenderedPageBreak/>
        <w:t>(a)</w:t>
      </w:r>
      <w:r w:rsidRPr="00F40BFC">
        <w:rPr>
          <w:sz w:val="22"/>
          <w:szCs w:val="22"/>
          <w:lang w:val="en-GB"/>
        </w:rPr>
        <w:tab/>
        <w:t xml:space="preserve">are subject to a conflict of interests; </w:t>
      </w:r>
    </w:p>
    <w:p w:rsidR="00B56131" w:rsidRPr="00F40BFC" w:rsidRDefault="00B56131" w:rsidP="00E402F6">
      <w:pPr>
        <w:ind w:left="426" w:hanging="426"/>
        <w:rPr>
          <w:sz w:val="22"/>
          <w:szCs w:val="22"/>
          <w:lang w:val="en-GB"/>
        </w:rPr>
      </w:pPr>
      <w:r w:rsidRPr="00F40BFC">
        <w:rPr>
          <w:sz w:val="22"/>
          <w:szCs w:val="22"/>
          <w:lang w:val="en-GB"/>
        </w:rPr>
        <w:t>(b)</w:t>
      </w:r>
      <w:r w:rsidRPr="00F40BFC">
        <w:rPr>
          <w:sz w:val="22"/>
          <w:szCs w:val="22"/>
          <w:lang w:val="en-GB"/>
        </w:rPr>
        <w:tab/>
        <w:t xml:space="preserve">are guilty of misrepresentation in supplying the information required by the </w:t>
      </w:r>
      <w:r w:rsidR="0024553A" w:rsidRPr="0024553A">
        <w:rPr>
          <w:sz w:val="22"/>
          <w:szCs w:val="22"/>
          <w:lang w:val="en-GB"/>
        </w:rPr>
        <w:t xml:space="preserve">Beneficiary(ies) </w:t>
      </w:r>
      <w:r w:rsidRPr="00F40BFC">
        <w:rPr>
          <w:sz w:val="22"/>
          <w:szCs w:val="22"/>
          <w:lang w:val="en-GB"/>
        </w:rPr>
        <w:t>as a condition of participation in the contract procedure or fail to supply this information.</w:t>
      </w:r>
    </w:p>
    <w:p w:rsidR="00B56131" w:rsidRPr="00B45343" w:rsidRDefault="00B56131" w:rsidP="00E402F6">
      <w:pPr>
        <w:pStyle w:val="Heading1"/>
        <w:keepNext w:val="0"/>
        <w:numPr>
          <w:ilvl w:val="0"/>
          <w:numId w:val="3"/>
        </w:numPr>
        <w:spacing w:before="0"/>
        <w:ind w:left="482" w:hanging="482"/>
        <w:rPr>
          <w:szCs w:val="24"/>
          <w:lang w:val="en-GB"/>
        </w:rPr>
      </w:pPr>
      <w:bookmarkStart w:id="9" w:name="_Ref41359387"/>
      <w:bookmarkStart w:id="10" w:name="_Ref17791835"/>
      <w:r w:rsidRPr="00B45343">
        <w:rPr>
          <w:szCs w:val="24"/>
          <w:lang w:val="en-GB"/>
        </w:rPr>
        <w:t xml:space="preserve">common </w:t>
      </w:r>
      <w:bookmarkEnd w:id="9"/>
      <w:r w:rsidR="009914AA">
        <w:rPr>
          <w:szCs w:val="24"/>
          <w:lang w:val="en-GB"/>
        </w:rPr>
        <w:t>procurement rules</w:t>
      </w:r>
    </w:p>
    <w:bookmarkEnd w:id="10"/>
    <w:p w:rsidR="00B56131" w:rsidRPr="00F40BFC" w:rsidRDefault="00B56131" w:rsidP="00E402F6">
      <w:pPr>
        <w:rPr>
          <w:sz w:val="22"/>
          <w:szCs w:val="22"/>
          <w:lang w:val="en-GB"/>
        </w:rPr>
      </w:pPr>
      <w:r w:rsidRPr="00F40BFC">
        <w:rPr>
          <w:sz w:val="22"/>
          <w:szCs w:val="22"/>
          <w:lang w:val="en-GB"/>
        </w:rPr>
        <w:t xml:space="preserve">The tender documents must be drafted </w:t>
      </w:r>
      <w:r w:rsidR="009914AA">
        <w:rPr>
          <w:sz w:val="22"/>
          <w:szCs w:val="22"/>
          <w:lang w:val="en-GB"/>
        </w:rPr>
        <w:t>according to</w:t>
      </w:r>
      <w:r w:rsidRPr="00F40BFC">
        <w:rPr>
          <w:sz w:val="22"/>
          <w:szCs w:val="22"/>
          <w:lang w:val="en-GB"/>
        </w:rPr>
        <w:t xml:space="preserve"> best international practice. If they do not have their own documents,</w:t>
      </w:r>
      <w:r w:rsidR="00FC3FFB">
        <w:rPr>
          <w:sz w:val="22"/>
          <w:szCs w:val="22"/>
          <w:lang w:val="en-GB"/>
        </w:rPr>
        <w:t xml:space="preserve"> </w:t>
      </w:r>
      <w:r w:rsidR="005750A3">
        <w:rPr>
          <w:sz w:val="22"/>
          <w:szCs w:val="22"/>
          <w:lang w:val="en-GB"/>
        </w:rPr>
        <w:t>B</w:t>
      </w:r>
      <w:r w:rsidRPr="00F40BFC">
        <w:rPr>
          <w:sz w:val="22"/>
          <w:szCs w:val="22"/>
          <w:lang w:val="en-GB"/>
        </w:rPr>
        <w:t xml:space="preserve">eneficiaries may </w:t>
      </w:r>
      <w:r w:rsidR="005950DD">
        <w:rPr>
          <w:sz w:val="22"/>
          <w:szCs w:val="22"/>
          <w:lang w:val="en-GB"/>
        </w:rPr>
        <w:t xml:space="preserve">voluntarily </w:t>
      </w:r>
      <w:r w:rsidRPr="00F40BFC">
        <w:rPr>
          <w:sz w:val="22"/>
          <w:szCs w:val="22"/>
          <w:lang w:val="en-GB"/>
        </w:rPr>
        <w:t>use the models</w:t>
      </w:r>
      <w:r w:rsidR="00BB2F3F">
        <w:rPr>
          <w:sz w:val="22"/>
          <w:szCs w:val="22"/>
          <w:lang w:val="en-GB"/>
        </w:rPr>
        <w:t xml:space="preserve"> </w:t>
      </w:r>
      <w:r w:rsidRPr="00F40BFC">
        <w:rPr>
          <w:sz w:val="22"/>
          <w:szCs w:val="22"/>
          <w:lang w:val="en-GB"/>
        </w:rPr>
        <w:t xml:space="preserve">published </w:t>
      </w:r>
      <w:r w:rsidR="005950DD">
        <w:rPr>
          <w:sz w:val="22"/>
          <w:szCs w:val="22"/>
          <w:lang w:val="en-GB"/>
        </w:rPr>
        <w:t>in the Practical Guide on</w:t>
      </w:r>
      <w:r w:rsidR="005950DD" w:rsidRPr="00F40BFC">
        <w:rPr>
          <w:sz w:val="22"/>
          <w:szCs w:val="22"/>
          <w:lang w:val="en-GB"/>
        </w:rPr>
        <w:t xml:space="preserve"> </w:t>
      </w:r>
      <w:r w:rsidRPr="00F40BFC">
        <w:rPr>
          <w:sz w:val="22"/>
          <w:szCs w:val="22"/>
          <w:lang w:val="en-GB"/>
        </w:rPr>
        <w:t>the</w:t>
      </w:r>
      <w:r w:rsidR="00156A00">
        <w:rPr>
          <w:sz w:val="22"/>
          <w:szCs w:val="22"/>
          <w:lang w:val="en-GB"/>
        </w:rPr>
        <w:t xml:space="preserve"> </w:t>
      </w:r>
      <w:r w:rsidR="00AA34FB">
        <w:rPr>
          <w:sz w:val="22"/>
          <w:szCs w:val="22"/>
          <w:lang w:val="en-GB"/>
        </w:rPr>
        <w:t>EuropeA</w:t>
      </w:r>
      <w:r w:rsidR="005950DD">
        <w:rPr>
          <w:sz w:val="22"/>
          <w:szCs w:val="22"/>
          <w:lang w:val="en-GB"/>
        </w:rPr>
        <w:t>id website</w:t>
      </w:r>
      <w:r w:rsidRPr="00F40BFC">
        <w:rPr>
          <w:sz w:val="22"/>
          <w:szCs w:val="22"/>
          <w:lang w:val="en-GB"/>
        </w:rPr>
        <w:t>.</w:t>
      </w:r>
      <w:r w:rsidR="00156A00">
        <w:rPr>
          <w:sz w:val="22"/>
          <w:szCs w:val="22"/>
          <w:lang w:val="en-GB"/>
        </w:rPr>
        <w:t xml:space="preserve"> The European Commission will not publish </w:t>
      </w:r>
      <w:r w:rsidR="00AA34FB">
        <w:rPr>
          <w:sz w:val="22"/>
          <w:szCs w:val="22"/>
          <w:lang w:val="en-GB"/>
        </w:rPr>
        <w:t xml:space="preserve">notices and </w:t>
      </w:r>
      <w:r w:rsidR="00156A00">
        <w:rPr>
          <w:sz w:val="22"/>
          <w:szCs w:val="22"/>
          <w:lang w:val="en-GB"/>
        </w:rPr>
        <w:t xml:space="preserve">tender documents </w:t>
      </w:r>
      <w:r w:rsidR="009914AA">
        <w:rPr>
          <w:sz w:val="22"/>
          <w:szCs w:val="22"/>
          <w:lang w:val="en-GB"/>
        </w:rPr>
        <w:t xml:space="preserve">issued </w:t>
      </w:r>
      <w:r w:rsidR="00156A00">
        <w:rPr>
          <w:sz w:val="22"/>
          <w:szCs w:val="22"/>
          <w:lang w:val="en-GB"/>
        </w:rPr>
        <w:t xml:space="preserve">by the </w:t>
      </w:r>
      <w:r w:rsidR="0024553A" w:rsidRPr="0024553A">
        <w:rPr>
          <w:sz w:val="22"/>
          <w:szCs w:val="22"/>
          <w:lang w:val="en-GB"/>
        </w:rPr>
        <w:t>Beneficiary(ies)</w:t>
      </w:r>
      <w:r w:rsidR="0024553A">
        <w:rPr>
          <w:sz w:val="22"/>
          <w:szCs w:val="22"/>
          <w:lang w:val="en-GB"/>
        </w:rPr>
        <w:t>.</w:t>
      </w:r>
    </w:p>
    <w:p w:rsidR="00B56131" w:rsidRPr="00F40BFC" w:rsidRDefault="00B56131" w:rsidP="00E402F6">
      <w:pPr>
        <w:rPr>
          <w:sz w:val="22"/>
          <w:szCs w:val="22"/>
          <w:lang w:val="en-GB"/>
        </w:rPr>
      </w:pPr>
      <w:r w:rsidRPr="00F40BFC">
        <w:rPr>
          <w:sz w:val="22"/>
          <w:szCs w:val="22"/>
          <w:lang w:val="en-GB"/>
        </w:rPr>
        <w:t xml:space="preserve">The time-limits for </w:t>
      </w:r>
      <w:r w:rsidR="009914AA">
        <w:rPr>
          <w:sz w:val="22"/>
          <w:szCs w:val="22"/>
          <w:lang w:val="en-GB"/>
        </w:rPr>
        <w:t>applications and/or tenders</w:t>
      </w:r>
      <w:r w:rsidRPr="00F40BFC">
        <w:rPr>
          <w:sz w:val="22"/>
          <w:szCs w:val="22"/>
          <w:lang w:val="en-GB"/>
        </w:rPr>
        <w:t xml:space="preserve"> must be long enough to </w:t>
      </w:r>
      <w:r w:rsidR="009914AA">
        <w:rPr>
          <w:sz w:val="22"/>
          <w:szCs w:val="22"/>
          <w:lang w:val="en-GB"/>
        </w:rPr>
        <w:t>give</w:t>
      </w:r>
      <w:r w:rsidR="009914AA" w:rsidRPr="00F40BFC">
        <w:rPr>
          <w:sz w:val="22"/>
          <w:szCs w:val="22"/>
          <w:lang w:val="en-GB"/>
        </w:rPr>
        <w:t xml:space="preserve"> </w:t>
      </w:r>
      <w:r w:rsidRPr="00F40BFC">
        <w:rPr>
          <w:sz w:val="22"/>
          <w:szCs w:val="22"/>
          <w:lang w:val="en-GB"/>
        </w:rPr>
        <w:t>interested parties a reasonable period to prepare and submit their tenders.</w:t>
      </w:r>
    </w:p>
    <w:p w:rsidR="00AA34FB" w:rsidRPr="00C23870" w:rsidRDefault="009914AA" w:rsidP="00E402F6">
      <w:pPr>
        <w:rPr>
          <w:sz w:val="22"/>
          <w:szCs w:val="22"/>
          <w:lang w:val="en-GB"/>
        </w:rPr>
      </w:pPr>
      <w:r>
        <w:rPr>
          <w:sz w:val="22"/>
          <w:szCs w:val="22"/>
          <w:lang w:val="en-GB"/>
        </w:rPr>
        <w:t xml:space="preserve">An evaluation committee must be set up to evaluate both applications and/or tenders </w:t>
      </w:r>
      <w:r w:rsidR="00721EA2">
        <w:rPr>
          <w:sz w:val="22"/>
          <w:szCs w:val="22"/>
          <w:lang w:val="en-GB"/>
        </w:rPr>
        <w:t xml:space="preserve">of a value of </w:t>
      </w:r>
      <w:r w:rsidR="00071278">
        <w:rPr>
          <w:sz w:val="22"/>
          <w:szCs w:val="22"/>
          <w:lang w:val="en-GB"/>
        </w:rPr>
        <w:t>EUR</w:t>
      </w:r>
      <w:r w:rsidR="00721EA2" w:rsidRPr="00721EA2">
        <w:rPr>
          <w:sz w:val="22"/>
          <w:szCs w:val="22"/>
          <w:lang w:val="en-GB"/>
        </w:rPr>
        <w:t xml:space="preserve"> 60 000 </w:t>
      </w:r>
      <w:r w:rsidR="00721EA2">
        <w:rPr>
          <w:sz w:val="22"/>
          <w:szCs w:val="22"/>
          <w:lang w:val="en-GB"/>
        </w:rPr>
        <w:t xml:space="preserve">or more </w:t>
      </w:r>
      <w:r w:rsidR="00B56131" w:rsidRPr="00F40BFC">
        <w:rPr>
          <w:sz w:val="22"/>
          <w:szCs w:val="22"/>
          <w:lang w:val="en-GB"/>
        </w:rPr>
        <w:t xml:space="preserve">on the basis of the exclusion, selection and award criteria </w:t>
      </w:r>
      <w:r>
        <w:rPr>
          <w:sz w:val="22"/>
          <w:szCs w:val="22"/>
          <w:lang w:val="en-GB"/>
        </w:rPr>
        <w:t xml:space="preserve">published by the </w:t>
      </w:r>
      <w:r w:rsidR="0024553A" w:rsidRPr="0024553A">
        <w:rPr>
          <w:sz w:val="22"/>
          <w:szCs w:val="22"/>
          <w:lang w:val="en-GB"/>
        </w:rPr>
        <w:t xml:space="preserve">Beneficiary(ies) </w:t>
      </w:r>
      <w:r w:rsidR="00B56131" w:rsidRPr="00F40BFC">
        <w:rPr>
          <w:sz w:val="22"/>
          <w:szCs w:val="22"/>
          <w:lang w:val="en-GB"/>
        </w:rPr>
        <w:t>in advance</w:t>
      </w:r>
      <w:r>
        <w:rPr>
          <w:sz w:val="22"/>
          <w:szCs w:val="22"/>
          <w:lang w:val="en-GB"/>
        </w:rPr>
        <w:t xml:space="preserve"> in the tender documents</w:t>
      </w:r>
      <w:r w:rsidR="00B56131" w:rsidRPr="00F40BFC">
        <w:rPr>
          <w:sz w:val="22"/>
          <w:szCs w:val="22"/>
          <w:lang w:val="en-GB"/>
        </w:rPr>
        <w:t>. This committee must have an odd number of members, at least three, with all the technical and administrative capacities necessary to give an informed opinion on the tenders.</w:t>
      </w:r>
    </w:p>
    <w:p w:rsidR="00B56131" w:rsidRPr="00B45343" w:rsidRDefault="009914AA" w:rsidP="00E402F6">
      <w:pPr>
        <w:pStyle w:val="Heading1"/>
        <w:keepNext w:val="0"/>
        <w:numPr>
          <w:ilvl w:val="0"/>
          <w:numId w:val="3"/>
        </w:numPr>
        <w:spacing w:before="0"/>
        <w:ind w:left="482" w:hanging="482"/>
        <w:rPr>
          <w:szCs w:val="24"/>
          <w:lang w:val="en-GB"/>
        </w:rPr>
      </w:pPr>
      <w:bookmarkStart w:id="11" w:name="_Ref17791819"/>
      <w:r>
        <w:rPr>
          <w:szCs w:val="24"/>
          <w:lang w:val="en-GB"/>
        </w:rPr>
        <w:t xml:space="preserve">Specific </w:t>
      </w:r>
      <w:r w:rsidR="00B56131" w:rsidRPr="00B45343">
        <w:rPr>
          <w:szCs w:val="24"/>
          <w:lang w:val="en-GB"/>
        </w:rPr>
        <w:t xml:space="preserve">Rules </w:t>
      </w:r>
      <w:r>
        <w:rPr>
          <w:szCs w:val="24"/>
          <w:lang w:val="en-GB"/>
        </w:rPr>
        <w:t>for</w:t>
      </w:r>
      <w:r w:rsidR="00B56131" w:rsidRPr="00B45343">
        <w:rPr>
          <w:szCs w:val="24"/>
          <w:lang w:val="en-GB"/>
        </w:rPr>
        <w:t xml:space="preserve"> service contracts</w:t>
      </w:r>
    </w:p>
    <w:bookmarkEnd w:id="11"/>
    <w:p w:rsidR="00B56131" w:rsidRPr="00F40BFC" w:rsidRDefault="00B56131" w:rsidP="00830C69">
      <w:pPr>
        <w:pStyle w:val="Heading2"/>
      </w:pPr>
      <w:r w:rsidRPr="00F40BFC">
        <w:t xml:space="preserve">Contracts </w:t>
      </w:r>
      <w:r w:rsidR="00517B0A">
        <w:t>from</w:t>
      </w:r>
      <w:r w:rsidR="00517B0A" w:rsidRPr="00F40BFC">
        <w:t xml:space="preserve"> </w:t>
      </w:r>
      <w:r w:rsidR="00071278">
        <w:t>EUR</w:t>
      </w:r>
      <w:r w:rsidR="009C6848">
        <w:t xml:space="preserve"> </w:t>
      </w:r>
      <w:r w:rsidR="00AA34FB">
        <w:t>3</w:t>
      </w:r>
      <w:r w:rsidRPr="00F40BFC">
        <w:t xml:space="preserve">00 000 </w:t>
      </w:r>
      <w:r w:rsidR="00517B0A">
        <w:t>and above</w:t>
      </w:r>
    </w:p>
    <w:p w:rsidR="00B56131" w:rsidRPr="00F40BFC" w:rsidRDefault="00B56131" w:rsidP="00E402F6">
      <w:pPr>
        <w:rPr>
          <w:sz w:val="22"/>
          <w:szCs w:val="22"/>
          <w:lang w:val="en-GB"/>
        </w:rPr>
      </w:pPr>
      <w:r w:rsidRPr="00F40BFC">
        <w:rPr>
          <w:sz w:val="22"/>
          <w:szCs w:val="22"/>
          <w:lang w:val="en-GB"/>
        </w:rPr>
        <w:t xml:space="preserve">Service contracts </w:t>
      </w:r>
      <w:r w:rsidR="00C8750C">
        <w:rPr>
          <w:sz w:val="22"/>
          <w:szCs w:val="22"/>
          <w:lang w:val="en-GB"/>
        </w:rPr>
        <w:t>from</w:t>
      </w:r>
      <w:r w:rsidR="00AA34FB" w:rsidRPr="00F40BFC">
        <w:rPr>
          <w:sz w:val="22"/>
          <w:szCs w:val="22"/>
          <w:lang w:val="en-GB"/>
        </w:rPr>
        <w:t xml:space="preserve"> </w:t>
      </w:r>
      <w:r w:rsidR="003C48E6">
        <w:rPr>
          <w:sz w:val="22"/>
          <w:szCs w:val="22"/>
          <w:lang w:val="en-GB"/>
        </w:rPr>
        <w:t>EUR</w:t>
      </w:r>
      <w:r w:rsidR="008D269E">
        <w:rPr>
          <w:sz w:val="22"/>
          <w:szCs w:val="22"/>
          <w:lang w:val="en-GB"/>
        </w:rPr>
        <w:t xml:space="preserve"> </w:t>
      </w:r>
      <w:r w:rsidR="003827B7">
        <w:rPr>
          <w:sz w:val="22"/>
          <w:szCs w:val="22"/>
          <w:lang w:val="en-GB"/>
        </w:rPr>
        <w:t>3</w:t>
      </w:r>
      <w:r w:rsidRPr="00F40BFC">
        <w:rPr>
          <w:sz w:val="22"/>
          <w:szCs w:val="22"/>
          <w:lang w:val="en-GB"/>
        </w:rPr>
        <w:t xml:space="preserve">00 000 </w:t>
      </w:r>
      <w:r w:rsidR="00C8750C">
        <w:rPr>
          <w:sz w:val="22"/>
          <w:szCs w:val="22"/>
          <w:lang w:val="en-GB"/>
        </w:rPr>
        <w:t>and above</w:t>
      </w:r>
      <w:r w:rsidRPr="00F40BFC">
        <w:rPr>
          <w:sz w:val="22"/>
          <w:szCs w:val="22"/>
          <w:lang w:val="en-GB"/>
        </w:rPr>
        <w:t xml:space="preserve"> must be awarded by means of an international restricted tender procedure following publication of a </w:t>
      </w:r>
      <w:r w:rsidR="005F2B3F">
        <w:rPr>
          <w:sz w:val="22"/>
          <w:szCs w:val="22"/>
          <w:lang w:val="en-GB"/>
        </w:rPr>
        <w:t>contract</w:t>
      </w:r>
      <w:r w:rsidR="005F2B3F" w:rsidRPr="00F40BFC">
        <w:rPr>
          <w:sz w:val="22"/>
          <w:szCs w:val="22"/>
          <w:lang w:val="en-GB"/>
        </w:rPr>
        <w:t xml:space="preserve"> </w:t>
      </w:r>
      <w:r w:rsidRPr="00F40BFC">
        <w:rPr>
          <w:sz w:val="22"/>
          <w:szCs w:val="22"/>
          <w:lang w:val="en-GB"/>
        </w:rPr>
        <w:t>notice.</w:t>
      </w:r>
    </w:p>
    <w:p w:rsidR="00B56131" w:rsidRPr="00F40BFC" w:rsidRDefault="00B56131" w:rsidP="00E402F6">
      <w:pPr>
        <w:rPr>
          <w:sz w:val="22"/>
          <w:szCs w:val="22"/>
          <w:lang w:val="en-GB"/>
        </w:rPr>
      </w:pPr>
      <w:r w:rsidRPr="00F40BFC">
        <w:rPr>
          <w:sz w:val="22"/>
          <w:szCs w:val="22"/>
          <w:lang w:val="en-GB"/>
        </w:rPr>
        <w:t xml:space="preserve">The </w:t>
      </w:r>
      <w:r w:rsidR="00AA6FA7">
        <w:rPr>
          <w:sz w:val="22"/>
          <w:szCs w:val="22"/>
          <w:lang w:val="en-GB"/>
        </w:rPr>
        <w:t>contract</w:t>
      </w:r>
      <w:r w:rsidR="00AA6FA7" w:rsidRPr="00F40BFC">
        <w:rPr>
          <w:sz w:val="22"/>
          <w:szCs w:val="22"/>
          <w:lang w:val="en-GB"/>
        </w:rPr>
        <w:t xml:space="preserve"> </w:t>
      </w:r>
      <w:r w:rsidRPr="00F40BFC">
        <w:rPr>
          <w:sz w:val="22"/>
          <w:szCs w:val="22"/>
          <w:lang w:val="en-GB"/>
        </w:rPr>
        <w:t>notice is to be published in all appropriate media, in particular on the Beneficiary’s web site, in the international press and the national press of the country in which the Action is being carried out, or in other specialist periodicals. It must state the number of candidates which will be invited to submit tenders</w:t>
      </w:r>
      <w:r w:rsidR="001A18E0">
        <w:rPr>
          <w:sz w:val="22"/>
          <w:szCs w:val="22"/>
          <w:lang w:val="en-GB"/>
        </w:rPr>
        <w:t xml:space="preserve"> within</w:t>
      </w:r>
      <w:r w:rsidRPr="00F40BFC">
        <w:rPr>
          <w:sz w:val="22"/>
          <w:szCs w:val="22"/>
          <w:lang w:val="en-GB"/>
        </w:rPr>
        <w:t xml:space="preserve"> a range of four to eight candidates, and must be sufficient to ensure genuine competition.</w:t>
      </w:r>
    </w:p>
    <w:p w:rsidR="00B56131" w:rsidRPr="00F40BFC" w:rsidRDefault="00B56131" w:rsidP="00E402F6">
      <w:pPr>
        <w:rPr>
          <w:sz w:val="22"/>
          <w:szCs w:val="22"/>
          <w:lang w:val="en-GB"/>
        </w:rPr>
      </w:pPr>
      <w:r w:rsidRPr="00F40BFC">
        <w:rPr>
          <w:sz w:val="22"/>
          <w:szCs w:val="22"/>
          <w:lang w:val="en-GB"/>
        </w:rPr>
        <w:t xml:space="preserve">All would-be service providers fulfilling the conditions referred to in section </w:t>
      </w:r>
      <w:r w:rsidR="009D57C8">
        <w:rPr>
          <w:sz w:val="22"/>
          <w:szCs w:val="22"/>
          <w:lang w:val="en-GB"/>
        </w:rPr>
        <w:t>2</w:t>
      </w:r>
      <w:r w:rsidRPr="00F40BFC">
        <w:rPr>
          <w:sz w:val="22"/>
          <w:szCs w:val="22"/>
          <w:lang w:val="en-GB"/>
        </w:rPr>
        <w:t xml:space="preserve"> may </w:t>
      </w:r>
      <w:r w:rsidR="00EE79DA">
        <w:rPr>
          <w:sz w:val="22"/>
          <w:szCs w:val="22"/>
          <w:lang w:val="en-GB"/>
        </w:rPr>
        <w:t>take part</w:t>
      </w:r>
      <w:r w:rsidRPr="00F40BFC">
        <w:rPr>
          <w:sz w:val="22"/>
          <w:szCs w:val="22"/>
          <w:lang w:val="en-GB"/>
        </w:rPr>
        <w:t xml:space="preserve"> but only candidates satisfying the published selection criteria and invited in writing by the Beneficiary may submit a tender.</w:t>
      </w:r>
    </w:p>
    <w:p w:rsidR="00B56131" w:rsidRPr="00F40BFC" w:rsidRDefault="00B56131" w:rsidP="00830C69">
      <w:pPr>
        <w:pStyle w:val="Heading2"/>
      </w:pPr>
      <w:r w:rsidRPr="00F40BFC">
        <w:t xml:space="preserve">Contracts </w:t>
      </w:r>
      <w:r w:rsidR="00C8750C">
        <w:t>of less than</w:t>
      </w:r>
      <w:r w:rsidR="00C8750C" w:rsidRPr="00F40BFC">
        <w:t xml:space="preserve"> </w:t>
      </w:r>
      <w:r w:rsidR="003C48E6">
        <w:t xml:space="preserve">EUR </w:t>
      </w:r>
      <w:r w:rsidR="003827B7">
        <w:t>3</w:t>
      </w:r>
      <w:r w:rsidRPr="00F40BFC">
        <w:t>00 000</w:t>
      </w:r>
      <w:r w:rsidR="00C8750C">
        <w:t xml:space="preserve"> but more than </w:t>
      </w:r>
      <w:r w:rsidR="003C48E6">
        <w:t xml:space="preserve">EUR </w:t>
      </w:r>
      <w:r w:rsidR="00C8750C">
        <w:t>60 000</w:t>
      </w:r>
    </w:p>
    <w:p w:rsidR="00B56131" w:rsidRPr="00F40BFC" w:rsidRDefault="00C8750C" w:rsidP="00E402F6">
      <w:pPr>
        <w:rPr>
          <w:sz w:val="22"/>
          <w:szCs w:val="22"/>
          <w:lang w:val="en-GB"/>
        </w:rPr>
      </w:pPr>
      <w:r>
        <w:rPr>
          <w:sz w:val="22"/>
          <w:szCs w:val="22"/>
          <w:lang w:val="en-GB"/>
        </w:rPr>
        <w:t>Such</w:t>
      </w:r>
      <w:r w:rsidRPr="00F40BFC">
        <w:rPr>
          <w:sz w:val="22"/>
          <w:szCs w:val="22"/>
          <w:lang w:val="en-GB"/>
        </w:rPr>
        <w:t xml:space="preserve"> </w:t>
      </w:r>
      <w:r w:rsidR="00A13DEF" w:rsidRPr="00F40BFC">
        <w:rPr>
          <w:sz w:val="22"/>
          <w:szCs w:val="22"/>
          <w:lang w:val="en-GB"/>
        </w:rPr>
        <w:t>contracts must</w:t>
      </w:r>
      <w:r w:rsidR="00B56131" w:rsidRPr="00F40BFC">
        <w:rPr>
          <w:sz w:val="22"/>
          <w:szCs w:val="22"/>
          <w:lang w:val="en-GB"/>
        </w:rPr>
        <w:t xml:space="preserve"> be awarded by means of a </w:t>
      </w:r>
      <w:r w:rsidR="00C23870">
        <w:rPr>
          <w:sz w:val="22"/>
          <w:szCs w:val="22"/>
          <w:lang w:val="en-GB"/>
        </w:rPr>
        <w:t xml:space="preserve">competitive </w:t>
      </w:r>
      <w:r w:rsidR="00B56131" w:rsidRPr="00F40BFC">
        <w:rPr>
          <w:sz w:val="22"/>
          <w:szCs w:val="22"/>
          <w:lang w:val="en-GB"/>
        </w:rPr>
        <w:t>negotiated procedure without publication, in which the Beneficiary consults at least three service providers of its choice and negotiates the terms of the contract with one or more of them.</w:t>
      </w:r>
    </w:p>
    <w:p w:rsidR="00517B0A" w:rsidRPr="00F40BFC" w:rsidRDefault="00517B0A" w:rsidP="00830C69">
      <w:pPr>
        <w:pStyle w:val="Heading2"/>
      </w:pPr>
      <w:r w:rsidRPr="00F40BFC">
        <w:t xml:space="preserve">Contracts </w:t>
      </w:r>
      <w:r w:rsidR="00B9220A">
        <w:t xml:space="preserve">of </w:t>
      </w:r>
      <w:r w:rsidR="003C48E6">
        <w:t xml:space="preserve">EUR </w:t>
      </w:r>
      <w:r>
        <w:t>6</w:t>
      </w:r>
      <w:r w:rsidRPr="00F40BFC">
        <w:t>0 000</w:t>
      </w:r>
      <w:r>
        <w:t xml:space="preserve"> or less</w:t>
      </w:r>
    </w:p>
    <w:p w:rsidR="004E4F7B" w:rsidRDefault="00B56131" w:rsidP="00E402F6">
      <w:pPr>
        <w:rPr>
          <w:sz w:val="22"/>
          <w:szCs w:val="22"/>
          <w:lang w:val="en-GB"/>
        </w:rPr>
      </w:pPr>
      <w:r w:rsidRPr="00F40BFC">
        <w:rPr>
          <w:sz w:val="22"/>
          <w:szCs w:val="22"/>
          <w:lang w:val="en-GB"/>
        </w:rPr>
        <w:t xml:space="preserve">For services of a value of </w:t>
      </w:r>
      <w:r w:rsidR="003C48E6">
        <w:rPr>
          <w:sz w:val="22"/>
          <w:szCs w:val="22"/>
          <w:lang w:val="en-GB"/>
        </w:rPr>
        <w:t xml:space="preserve">EUR </w:t>
      </w:r>
      <w:r w:rsidR="00C23870">
        <w:rPr>
          <w:sz w:val="22"/>
          <w:szCs w:val="22"/>
          <w:lang w:val="en-GB"/>
        </w:rPr>
        <w:t xml:space="preserve">60 </w:t>
      </w:r>
      <w:r w:rsidR="00884921">
        <w:rPr>
          <w:sz w:val="22"/>
          <w:szCs w:val="22"/>
          <w:lang w:val="en-GB"/>
        </w:rPr>
        <w:t xml:space="preserve">000 </w:t>
      </w:r>
      <w:r w:rsidRPr="00F40BFC">
        <w:rPr>
          <w:sz w:val="22"/>
          <w:szCs w:val="22"/>
          <w:lang w:val="en-GB"/>
        </w:rPr>
        <w:t xml:space="preserve">or less, </w:t>
      </w:r>
      <w:r w:rsidR="00C23870">
        <w:rPr>
          <w:sz w:val="22"/>
          <w:szCs w:val="22"/>
          <w:lang w:val="en-GB"/>
        </w:rPr>
        <w:t xml:space="preserve">the procedures established by the Beneficiary may be used, while respecting the rules and principles laid down in </w:t>
      </w:r>
      <w:r w:rsidR="005F3032">
        <w:rPr>
          <w:sz w:val="22"/>
          <w:szCs w:val="22"/>
          <w:lang w:val="en-GB"/>
        </w:rPr>
        <w:t xml:space="preserve">sections </w:t>
      </w:r>
      <w:r w:rsidR="00C23870">
        <w:rPr>
          <w:sz w:val="22"/>
          <w:szCs w:val="22"/>
          <w:lang w:val="en-GB"/>
        </w:rPr>
        <w:t>1, 2 and 3 of this annex.</w:t>
      </w:r>
      <w:r w:rsidR="008F2484">
        <w:rPr>
          <w:sz w:val="22"/>
          <w:szCs w:val="22"/>
          <w:lang w:val="en-GB"/>
        </w:rPr>
        <w:t xml:space="preserve"> </w:t>
      </w:r>
    </w:p>
    <w:p w:rsidR="004E4F7B" w:rsidRPr="004E4F7B" w:rsidRDefault="004E4F7B" w:rsidP="0013483E">
      <w:pPr>
        <w:pStyle w:val="Heading1"/>
        <w:numPr>
          <w:ilvl w:val="0"/>
          <w:numId w:val="3"/>
        </w:numPr>
        <w:spacing w:before="0"/>
        <w:ind w:left="482" w:hanging="482"/>
        <w:rPr>
          <w:szCs w:val="24"/>
          <w:lang w:val="en-GB"/>
        </w:rPr>
      </w:pPr>
      <w:r w:rsidRPr="00553B2F">
        <w:rPr>
          <w:szCs w:val="24"/>
          <w:lang w:val="en-GB"/>
        </w:rPr>
        <w:t>SPECIFIC RULES FOR SUPPLY CONTRACTS</w:t>
      </w:r>
    </w:p>
    <w:p w:rsidR="00B56131" w:rsidRPr="00F40BFC" w:rsidRDefault="00B56131" w:rsidP="00830C69">
      <w:pPr>
        <w:pStyle w:val="Heading2"/>
      </w:pPr>
      <w:r w:rsidRPr="00F40BFC">
        <w:t xml:space="preserve">Contracts </w:t>
      </w:r>
      <w:r w:rsidR="00517B0A">
        <w:t>from</w:t>
      </w:r>
      <w:r w:rsidR="00517B0A" w:rsidRPr="00F40BFC">
        <w:t xml:space="preserve"> </w:t>
      </w:r>
      <w:r w:rsidR="003C48E6">
        <w:t xml:space="preserve">EUR </w:t>
      </w:r>
      <w:r w:rsidR="004E47C8">
        <w:t>300</w:t>
      </w:r>
      <w:r w:rsidR="004E47C8" w:rsidRPr="00F40BFC">
        <w:t> </w:t>
      </w:r>
      <w:r w:rsidRPr="00F40BFC">
        <w:t xml:space="preserve">000 </w:t>
      </w:r>
      <w:r w:rsidR="00517B0A">
        <w:t>and above</w:t>
      </w:r>
    </w:p>
    <w:p w:rsidR="00B56131" w:rsidRPr="00F40BFC" w:rsidRDefault="00B56131" w:rsidP="00E402F6">
      <w:pPr>
        <w:rPr>
          <w:sz w:val="22"/>
          <w:szCs w:val="22"/>
          <w:lang w:val="en-GB"/>
        </w:rPr>
      </w:pPr>
      <w:r w:rsidRPr="00F40BFC">
        <w:rPr>
          <w:sz w:val="22"/>
          <w:szCs w:val="22"/>
          <w:lang w:val="en-GB"/>
        </w:rPr>
        <w:t xml:space="preserve">Supply contracts </w:t>
      </w:r>
      <w:r w:rsidR="00C8750C">
        <w:rPr>
          <w:sz w:val="22"/>
          <w:szCs w:val="22"/>
          <w:lang w:val="en-GB"/>
        </w:rPr>
        <w:t>from</w:t>
      </w:r>
      <w:r w:rsidR="003827B7" w:rsidRPr="00F40BFC">
        <w:rPr>
          <w:sz w:val="22"/>
          <w:szCs w:val="22"/>
          <w:lang w:val="en-GB"/>
        </w:rPr>
        <w:t xml:space="preserve"> </w:t>
      </w:r>
      <w:r w:rsidR="003C48E6">
        <w:rPr>
          <w:sz w:val="22"/>
          <w:szCs w:val="22"/>
          <w:lang w:val="en-GB"/>
        </w:rPr>
        <w:t xml:space="preserve">EUR </w:t>
      </w:r>
      <w:r w:rsidR="004E47C8">
        <w:rPr>
          <w:sz w:val="22"/>
          <w:szCs w:val="22"/>
          <w:lang w:val="en-GB"/>
        </w:rPr>
        <w:t>300</w:t>
      </w:r>
      <w:r w:rsidR="004E47C8" w:rsidRPr="00F40BFC">
        <w:rPr>
          <w:sz w:val="22"/>
          <w:szCs w:val="22"/>
          <w:lang w:val="en-GB"/>
        </w:rPr>
        <w:t> </w:t>
      </w:r>
      <w:r w:rsidRPr="00F40BFC">
        <w:rPr>
          <w:sz w:val="22"/>
          <w:szCs w:val="22"/>
          <w:lang w:val="en-GB"/>
        </w:rPr>
        <w:t xml:space="preserve">000 </w:t>
      </w:r>
      <w:r w:rsidR="00C8750C">
        <w:rPr>
          <w:sz w:val="22"/>
          <w:szCs w:val="22"/>
          <w:lang w:val="en-GB"/>
        </w:rPr>
        <w:t>and above</w:t>
      </w:r>
      <w:r w:rsidRPr="00F40BFC">
        <w:rPr>
          <w:sz w:val="22"/>
          <w:szCs w:val="22"/>
          <w:lang w:val="en-GB"/>
        </w:rPr>
        <w:t xml:space="preserve"> must be awarded by means of an international open tender procedure following publication of a </w:t>
      </w:r>
      <w:r w:rsidR="00447253">
        <w:rPr>
          <w:sz w:val="22"/>
          <w:szCs w:val="22"/>
          <w:lang w:val="en-GB"/>
        </w:rPr>
        <w:t>contract</w:t>
      </w:r>
      <w:r w:rsidR="00447253" w:rsidRPr="00F40BFC">
        <w:rPr>
          <w:sz w:val="22"/>
          <w:szCs w:val="22"/>
          <w:lang w:val="en-GB"/>
        </w:rPr>
        <w:t xml:space="preserve"> </w:t>
      </w:r>
      <w:r w:rsidRPr="00F40BFC">
        <w:rPr>
          <w:sz w:val="22"/>
          <w:szCs w:val="22"/>
          <w:lang w:val="en-GB"/>
        </w:rPr>
        <w:t>notice.</w:t>
      </w:r>
    </w:p>
    <w:p w:rsidR="00B56131" w:rsidRPr="00F40BFC" w:rsidRDefault="00B56131" w:rsidP="00E402F6">
      <w:pPr>
        <w:rPr>
          <w:sz w:val="22"/>
          <w:szCs w:val="22"/>
          <w:lang w:val="en-GB"/>
        </w:rPr>
      </w:pPr>
      <w:r w:rsidRPr="00F40BFC">
        <w:rPr>
          <w:sz w:val="22"/>
          <w:szCs w:val="22"/>
          <w:lang w:val="en-GB"/>
        </w:rPr>
        <w:lastRenderedPageBreak/>
        <w:t xml:space="preserve">The </w:t>
      </w:r>
      <w:r w:rsidR="00A6292D">
        <w:rPr>
          <w:sz w:val="22"/>
          <w:szCs w:val="22"/>
          <w:lang w:val="en-GB"/>
        </w:rPr>
        <w:t>contract</w:t>
      </w:r>
      <w:r w:rsidR="00A6292D" w:rsidRPr="00F40BFC">
        <w:rPr>
          <w:sz w:val="22"/>
          <w:szCs w:val="22"/>
          <w:lang w:val="en-GB"/>
        </w:rPr>
        <w:t xml:space="preserve"> </w:t>
      </w:r>
      <w:r w:rsidRPr="00F40BFC">
        <w:rPr>
          <w:sz w:val="22"/>
          <w:szCs w:val="22"/>
          <w:lang w:val="en-GB"/>
        </w:rPr>
        <w:t>notice is to be published in all appropriate media, in particular on the Beneficiary’s web site, in the international press and the national press of the country in which the Action is being carried out, or in other specialist periodicals.</w:t>
      </w:r>
    </w:p>
    <w:p w:rsidR="00B56131" w:rsidRPr="00F40BFC" w:rsidRDefault="00B56131" w:rsidP="00E402F6">
      <w:pPr>
        <w:rPr>
          <w:sz w:val="22"/>
          <w:szCs w:val="22"/>
          <w:lang w:val="en-GB"/>
        </w:rPr>
      </w:pPr>
      <w:r w:rsidRPr="00F40BFC">
        <w:rPr>
          <w:sz w:val="22"/>
          <w:szCs w:val="22"/>
          <w:lang w:val="en-GB"/>
        </w:rPr>
        <w:t xml:space="preserve">Any would-be supplier which fulfils the conditions referred to in section </w:t>
      </w:r>
      <w:r w:rsidR="009D57C8">
        <w:rPr>
          <w:sz w:val="22"/>
          <w:szCs w:val="22"/>
          <w:lang w:val="en-GB"/>
        </w:rPr>
        <w:t>2</w:t>
      </w:r>
      <w:r w:rsidRPr="00F40BFC">
        <w:rPr>
          <w:sz w:val="22"/>
          <w:szCs w:val="22"/>
          <w:lang w:val="en-GB"/>
        </w:rPr>
        <w:t xml:space="preserve"> may submit a tender.</w:t>
      </w:r>
    </w:p>
    <w:p w:rsidR="005A7745" w:rsidRDefault="00B56131" w:rsidP="00830C69">
      <w:pPr>
        <w:pStyle w:val="Heading2"/>
      </w:pPr>
      <w:r w:rsidRPr="00F40BFC">
        <w:t xml:space="preserve">Contracts between </w:t>
      </w:r>
      <w:r w:rsidR="003C48E6">
        <w:t xml:space="preserve">EUR </w:t>
      </w:r>
      <w:r w:rsidR="00C23870">
        <w:t xml:space="preserve">100 </w:t>
      </w:r>
      <w:r w:rsidR="00884921">
        <w:t>000</w:t>
      </w:r>
      <w:r w:rsidRPr="00F40BFC">
        <w:t xml:space="preserve"> and </w:t>
      </w:r>
      <w:r w:rsidR="00517B0A">
        <w:t xml:space="preserve">less than </w:t>
      </w:r>
      <w:r w:rsidR="003C48E6">
        <w:t xml:space="preserve">EUR </w:t>
      </w:r>
      <w:r w:rsidR="003827B7">
        <w:t>300</w:t>
      </w:r>
      <w:r w:rsidR="003827B7" w:rsidRPr="00F40BFC">
        <w:t> </w:t>
      </w:r>
      <w:r w:rsidRPr="00F40BFC">
        <w:t>000</w:t>
      </w:r>
      <w:r w:rsidR="00884921">
        <w:t xml:space="preserve"> </w:t>
      </w:r>
    </w:p>
    <w:p w:rsidR="00B56131" w:rsidRPr="00F40BFC" w:rsidRDefault="00B56131" w:rsidP="00E402F6">
      <w:pPr>
        <w:rPr>
          <w:sz w:val="22"/>
          <w:szCs w:val="22"/>
          <w:lang w:val="en-GB"/>
        </w:rPr>
      </w:pPr>
      <w:r w:rsidRPr="00F40BFC">
        <w:rPr>
          <w:sz w:val="22"/>
          <w:szCs w:val="22"/>
          <w:lang w:val="en-GB"/>
        </w:rPr>
        <w:t xml:space="preserve">Such contracts are awarded by means of an open tender procedure published locally: the </w:t>
      </w:r>
      <w:r w:rsidR="00A6292D">
        <w:rPr>
          <w:sz w:val="22"/>
          <w:szCs w:val="22"/>
          <w:lang w:val="en-GB"/>
        </w:rPr>
        <w:t>contract</w:t>
      </w:r>
      <w:r w:rsidR="00A6292D" w:rsidRPr="00F40BFC">
        <w:rPr>
          <w:sz w:val="22"/>
          <w:szCs w:val="22"/>
          <w:lang w:val="en-GB"/>
        </w:rPr>
        <w:t xml:space="preserve"> </w:t>
      </w:r>
      <w:r w:rsidRPr="00F40BFC">
        <w:rPr>
          <w:sz w:val="22"/>
          <w:szCs w:val="22"/>
          <w:lang w:val="en-GB"/>
        </w:rPr>
        <w:t xml:space="preserve">notice is published in all appropriate media </w:t>
      </w:r>
      <w:r w:rsidR="009B7801">
        <w:rPr>
          <w:sz w:val="22"/>
          <w:szCs w:val="22"/>
          <w:lang w:val="en-GB"/>
        </w:rPr>
        <w:t>at least</w:t>
      </w:r>
      <w:r w:rsidRPr="00F40BFC">
        <w:rPr>
          <w:sz w:val="22"/>
          <w:szCs w:val="22"/>
          <w:lang w:val="en-GB"/>
        </w:rPr>
        <w:t xml:space="preserve"> in the country in which the Action is being carried out.</w:t>
      </w:r>
    </w:p>
    <w:p w:rsidR="00B56131" w:rsidRPr="00F40BFC" w:rsidRDefault="00B56131" w:rsidP="00E402F6">
      <w:pPr>
        <w:rPr>
          <w:sz w:val="22"/>
          <w:szCs w:val="22"/>
          <w:lang w:val="en-GB"/>
        </w:rPr>
      </w:pPr>
      <w:r w:rsidRPr="00F40BFC">
        <w:rPr>
          <w:sz w:val="22"/>
          <w:szCs w:val="22"/>
          <w:lang w:val="en-GB"/>
        </w:rPr>
        <w:t>A local open tender procedure must provide other eligible suppliers with the same opportunities as local firms.</w:t>
      </w:r>
    </w:p>
    <w:p w:rsidR="00B56131" w:rsidRPr="00F40BFC" w:rsidRDefault="00B56131" w:rsidP="00830C69">
      <w:pPr>
        <w:pStyle w:val="Heading2"/>
      </w:pPr>
      <w:r w:rsidRPr="00F40BFC">
        <w:t xml:space="preserve">Contracts </w:t>
      </w:r>
      <w:r w:rsidR="00517B0A">
        <w:t>of less than</w:t>
      </w:r>
      <w:r w:rsidR="00517B0A" w:rsidRPr="00F40BFC">
        <w:t xml:space="preserve"> </w:t>
      </w:r>
      <w:r w:rsidR="003C48E6">
        <w:t xml:space="preserve">EUR </w:t>
      </w:r>
      <w:r w:rsidR="00C23870">
        <w:t>100 000</w:t>
      </w:r>
      <w:r w:rsidR="00884921">
        <w:t xml:space="preserve"> </w:t>
      </w:r>
      <w:r w:rsidR="00C8750C">
        <w:t>but</w:t>
      </w:r>
      <w:r w:rsidR="00517B0A">
        <w:t xml:space="preserve"> more than </w:t>
      </w:r>
      <w:r w:rsidR="003C48E6">
        <w:t xml:space="preserve">EUR </w:t>
      </w:r>
      <w:r w:rsidR="00517B0A">
        <w:t>60 000</w:t>
      </w:r>
    </w:p>
    <w:p w:rsidR="00B56131" w:rsidRDefault="00C8750C" w:rsidP="00E402F6">
      <w:pPr>
        <w:rPr>
          <w:sz w:val="22"/>
          <w:szCs w:val="22"/>
          <w:lang w:val="en-GB"/>
        </w:rPr>
      </w:pPr>
      <w:r>
        <w:rPr>
          <w:sz w:val="22"/>
          <w:szCs w:val="22"/>
          <w:lang w:val="en-GB"/>
        </w:rPr>
        <w:t>Such</w:t>
      </w:r>
      <w:r w:rsidRPr="00F40BFC">
        <w:rPr>
          <w:sz w:val="22"/>
          <w:szCs w:val="22"/>
          <w:lang w:val="en-GB"/>
        </w:rPr>
        <w:t xml:space="preserve"> </w:t>
      </w:r>
      <w:r w:rsidR="00B56131" w:rsidRPr="00F40BFC">
        <w:rPr>
          <w:sz w:val="22"/>
          <w:szCs w:val="22"/>
          <w:lang w:val="en-GB"/>
        </w:rPr>
        <w:t xml:space="preserve">contracts must be awarded by means of a </w:t>
      </w:r>
      <w:r w:rsidR="00C23870">
        <w:rPr>
          <w:sz w:val="22"/>
          <w:szCs w:val="22"/>
          <w:lang w:val="en-GB"/>
        </w:rPr>
        <w:t xml:space="preserve">competitive </w:t>
      </w:r>
      <w:r w:rsidR="00B56131" w:rsidRPr="00F40BFC">
        <w:rPr>
          <w:sz w:val="22"/>
          <w:szCs w:val="22"/>
          <w:lang w:val="en-GB"/>
        </w:rPr>
        <w:t>negotiated procedure without publication</w:t>
      </w:r>
      <w:r w:rsidR="00A6292D">
        <w:rPr>
          <w:sz w:val="22"/>
          <w:szCs w:val="22"/>
          <w:lang w:val="en-GB"/>
        </w:rPr>
        <w:t xml:space="preserve"> of a contract notice.</w:t>
      </w:r>
      <w:r w:rsidR="00B56131" w:rsidRPr="00F40BFC">
        <w:rPr>
          <w:sz w:val="22"/>
          <w:szCs w:val="22"/>
          <w:lang w:val="en-GB"/>
        </w:rPr>
        <w:t xml:space="preserve"> </w:t>
      </w:r>
      <w:r w:rsidR="00A6292D">
        <w:rPr>
          <w:sz w:val="22"/>
          <w:szCs w:val="22"/>
          <w:lang w:val="en-GB"/>
        </w:rPr>
        <w:t>T</w:t>
      </w:r>
      <w:r w:rsidR="00B56131" w:rsidRPr="00F40BFC">
        <w:rPr>
          <w:sz w:val="22"/>
          <w:szCs w:val="22"/>
          <w:lang w:val="en-GB"/>
        </w:rPr>
        <w:t>he Beneficiary consults at least three suppliers of its choice and negotiates the terms of the contract with one or more of them.</w:t>
      </w:r>
    </w:p>
    <w:p w:rsidR="004E4F7B" w:rsidRPr="004E4F7B" w:rsidRDefault="00517B0A" w:rsidP="00830C69">
      <w:pPr>
        <w:pStyle w:val="Heading2"/>
      </w:pPr>
      <w:r w:rsidRPr="00F40BFC">
        <w:t xml:space="preserve">Contracts </w:t>
      </w:r>
      <w:r>
        <w:t xml:space="preserve">of </w:t>
      </w:r>
      <w:r w:rsidR="003C48E6">
        <w:t xml:space="preserve">EUR </w:t>
      </w:r>
      <w:r>
        <w:t xml:space="preserve">60 000 or less </w:t>
      </w:r>
    </w:p>
    <w:p w:rsidR="004E4F7B" w:rsidRDefault="00B56131" w:rsidP="00E402F6">
      <w:pPr>
        <w:rPr>
          <w:sz w:val="22"/>
          <w:szCs w:val="22"/>
          <w:lang w:val="en-GB"/>
        </w:rPr>
      </w:pPr>
      <w:r w:rsidRPr="00F40BFC">
        <w:rPr>
          <w:sz w:val="22"/>
          <w:szCs w:val="22"/>
          <w:lang w:val="en-GB"/>
        </w:rPr>
        <w:t xml:space="preserve">For </w:t>
      </w:r>
      <w:r w:rsidR="004E4F7B" w:rsidRPr="00F40BFC">
        <w:rPr>
          <w:sz w:val="22"/>
          <w:szCs w:val="22"/>
          <w:lang w:val="en-GB"/>
        </w:rPr>
        <w:t>supply</w:t>
      </w:r>
      <w:r w:rsidR="00C8750C">
        <w:rPr>
          <w:sz w:val="22"/>
          <w:szCs w:val="22"/>
          <w:lang w:val="en-GB"/>
        </w:rPr>
        <w:t xml:space="preserve"> contracts</w:t>
      </w:r>
      <w:r w:rsidRPr="00F40BFC">
        <w:rPr>
          <w:sz w:val="22"/>
          <w:szCs w:val="22"/>
          <w:lang w:val="en-GB"/>
        </w:rPr>
        <w:t xml:space="preserve"> of  </w:t>
      </w:r>
      <w:r w:rsidR="003C48E6">
        <w:rPr>
          <w:sz w:val="22"/>
          <w:szCs w:val="22"/>
          <w:lang w:val="en-GB"/>
        </w:rPr>
        <w:t xml:space="preserve">EUR </w:t>
      </w:r>
      <w:r w:rsidR="00C23870">
        <w:rPr>
          <w:sz w:val="22"/>
          <w:szCs w:val="22"/>
          <w:lang w:val="en-GB"/>
        </w:rPr>
        <w:t xml:space="preserve">60 </w:t>
      </w:r>
      <w:r w:rsidR="00523DCA">
        <w:rPr>
          <w:sz w:val="22"/>
          <w:szCs w:val="22"/>
          <w:lang w:val="en-GB"/>
        </w:rPr>
        <w:t xml:space="preserve">000 </w:t>
      </w:r>
      <w:r w:rsidRPr="00F40BFC">
        <w:rPr>
          <w:sz w:val="22"/>
          <w:szCs w:val="22"/>
          <w:lang w:val="en-GB"/>
        </w:rPr>
        <w:t xml:space="preserve">or less, </w:t>
      </w:r>
      <w:r w:rsidR="00C23870">
        <w:rPr>
          <w:sz w:val="22"/>
          <w:szCs w:val="22"/>
          <w:lang w:val="en-GB"/>
        </w:rPr>
        <w:t xml:space="preserve">the procedures established by the Beneficiary may be used, while respecting the rules and principles laid down in </w:t>
      </w:r>
      <w:r w:rsidR="007B7D3E">
        <w:rPr>
          <w:sz w:val="22"/>
          <w:szCs w:val="22"/>
          <w:lang w:val="en-GB"/>
        </w:rPr>
        <w:t xml:space="preserve">sections </w:t>
      </w:r>
      <w:r w:rsidR="00C23870">
        <w:rPr>
          <w:sz w:val="22"/>
          <w:szCs w:val="22"/>
          <w:lang w:val="en-GB"/>
        </w:rPr>
        <w:t>1, 2 and 3 of this annex.</w:t>
      </w:r>
      <w:r w:rsidR="00C23870" w:rsidRPr="00F40BFC" w:rsidDel="00C23870">
        <w:rPr>
          <w:sz w:val="22"/>
          <w:szCs w:val="22"/>
          <w:lang w:val="en-GB"/>
        </w:rPr>
        <w:t xml:space="preserve"> </w:t>
      </w:r>
    </w:p>
    <w:p w:rsidR="004E4F7B" w:rsidRPr="004E4F7B" w:rsidRDefault="00EE79DA" w:rsidP="00E402F6">
      <w:pPr>
        <w:pStyle w:val="Heading1"/>
        <w:keepNext w:val="0"/>
        <w:numPr>
          <w:ilvl w:val="0"/>
          <w:numId w:val="3"/>
        </w:numPr>
        <w:spacing w:before="0"/>
        <w:ind w:left="482" w:hanging="482"/>
        <w:rPr>
          <w:szCs w:val="24"/>
          <w:lang w:val="en-GB"/>
        </w:rPr>
      </w:pPr>
      <w:bookmarkStart w:id="12" w:name="_Ref18122364"/>
      <w:bookmarkStart w:id="13" w:name="_Ref41359396"/>
      <w:r>
        <w:rPr>
          <w:szCs w:val="24"/>
          <w:lang w:val="en-GB"/>
        </w:rPr>
        <w:t xml:space="preserve">Specific </w:t>
      </w:r>
      <w:r w:rsidR="00C23870" w:rsidRPr="00B45343">
        <w:rPr>
          <w:szCs w:val="24"/>
          <w:lang w:val="en-GB"/>
        </w:rPr>
        <w:t xml:space="preserve">Rules </w:t>
      </w:r>
      <w:r>
        <w:rPr>
          <w:szCs w:val="24"/>
          <w:lang w:val="en-GB"/>
        </w:rPr>
        <w:t>for</w:t>
      </w:r>
      <w:r w:rsidR="00C23870" w:rsidRPr="00B45343">
        <w:rPr>
          <w:szCs w:val="24"/>
          <w:lang w:val="en-GB"/>
        </w:rPr>
        <w:t xml:space="preserve"> </w:t>
      </w:r>
      <w:r w:rsidR="00C23870">
        <w:rPr>
          <w:szCs w:val="24"/>
          <w:lang w:val="en-GB"/>
        </w:rPr>
        <w:t>works</w:t>
      </w:r>
      <w:r w:rsidR="00C23870" w:rsidRPr="00B45343">
        <w:rPr>
          <w:szCs w:val="24"/>
          <w:lang w:val="en-GB"/>
        </w:rPr>
        <w:t xml:space="preserve"> contracts</w:t>
      </w:r>
    </w:p>
    <w:bookmarkEnd w:id="12"/>
    <w:bookmarkEnd w:id="13"/>
    <w:p w:rsidR="00B56131" w:rsidRPr="00F40BFC" w:rsidRDefault="00B56131" w:rsidP="00830C69">
      <w:pPr>
        <w:pStyle w:val="Heading2"/>
      </w:pPr>
      <w:r w:rsidRPr="00F40BFC">
        <w:t xml:space="preserve">Contracts </w:t>
      </w:r>
      <w:r w:rsidR="00517B0A">
        <w:t>from</w:t>
      </w:r>
      <w:r w:rsidR="00517B0A" w:rsidRPr="00F40BFC">
        <w:t xml:space="preserve"> </w:t>
      </w:r>
      <w:r w:rsidR="003C48E6">
        <w:t xml:space="preserve">EUR </w:t>
      </w:r>
      <w:r w:rsidRPr="00F40BFC">
        <w:t xml:space="preserve">5 000 000 </w:t>
      </w:r>
      <w:r w:rsidR="00517B0A">
        <w:t>and</w:t>
      </w:r>
      <w:r w:rsidRPr="00F40BFC">
        <w:t xml:space="preserve"> </w:t>
      </w:r>
      <w:r w:rsidR="00517B0A">
        <w:t>above</w:t>
      </w:r>
    </w:p>
    <w:p w:rsidR="00B56131" w:rsidRPr="00F40BFC" w:rsidRDefault="00B56131" w:rsidP="00E402F6">
      <w:pPr>
        <w:rPr>
          <w:sz w:val="22"/>
          <w:szCs w:val="22"/>
          <w:lang w:val="en-GB"/>
        </w:rPr>
      </w:pPr>
      <w:r w:rsidRPr="00F40BFC">
        <w:rPr>
          <w:sz w:val="22"/>
          <w:szCs w:val="22"/>
          <w:lang w:val="en-GB"/>
        </w:rPr>
        <w:t xml:space="preserve">Works contracts </w:t>
      </w:r>
      <w:r w:rsidR="00C23870">
        <w:rPr>
          <w:sz w:val="22"/>
          <w:szCs w:val="22"/>
          <w:lang w:val="en-GB"/>
        </w:rPr>
        <w:t>of</w:t>
      </w:r>
      <w:r w:rsidR="00C23870" w:rsidRPr="00F40BFC">
        <w:rPr>
          <w:sz w:val="22"/>
          <w:szCs w:val="22"/>
          <w:lang w:val="en-GB"/>
        </w:rPr>
        <w:t xml:space="preserve"> </w:t>
      </w:r>
      <w:r w:rsidR="003C48E6">
        <w:rPr>
          <w:sz w:val="22"/>
          <w:szCs w:val="22"/>
          <w:lang w:val="en-GB"/>
        </w:rPr>
        <w:t>EUR</w:t>
      </w:r>
      <w:r w:rsidR="008D269E">
        <w:rPr>
          <w:sz w:val="22"/>
          <w:szCs w:val="22"/>
          <w:lang w:val="en-GB"/>
        </w:rPr>
        <w:t xml:space="preserve"> </w:t>
      </w:r>
      <w:r w:rsidRPr="00F40BFC">
        <w:rPr>
          <w:sz w:val="22"/>
          <w:szCs w:val="22"/>
          <w:lang w:val="en-GB"/>
        </w:rPr>
        <w:t xml:space="preserve">5 000 000 or more must be awarded by means of an international open tender procedure following publication of a </w:t>
      </w:r>
      <w:r w:rsidR="00A6292D">
        <w:rPr>
          <w:sz w:val="22"/>
          <w:szCs w:val="22"/>
          <w:lang w:val="en-GB"/>
        </w:rPr>
        <w:t>contract</w:t>
      </w:r>
      <w:r w:rsidR="00A6292D" w:rsidRPr="00F40BFC">
        <w:rPr>
          <w:sz w:val="22"/>
          <w:szCs w:val="22"/>
          <w:lang w:val="en-GB"/>
        </w:rPr>
        <w:t xml:space="preserve"> </w:t>
      </w:r>
      <w:r w:rsidRPr="00F40BFC">
        <w:rPr>
          <w:sz w:val="22"/>
          <w:szCs w:val="22"/>
          <w:lang w:val="en-GB"/>
        </w:rPr>
        <w:t>notice.</w:t>
      </w:r>
    </w:p>
    <w:p w:rsidR="00B56131" w:rsidRPr="00F40BFC" w:rsidRDefault="00B56131" w:rsidP="00E402F6">
      <w:pPr>
        <w:rPr>
          <w:sz w:val="22"/>
          <w:szCs w:val="22"/>
          <w:lang w:val="en-GB"/>
        </w:rPr>
      </w:pPr>
      <w:r w:rsidRPr="00F40BFC">
        <w:rPr>
          <w:sz w:val="22"/>
          <w:szCs w:val="22"/>
          <w:lang w:val="en-GB"/>
        </w:rPr>
        <w:t xml:space="preserve">The </w:t>
      </w:r>
      <w:r w:rsidR="00A6292D">
        <w:rPr>
          <w:sz w:val="22"/>
          <w:szCs w:val="22"/>
          <w:lang w:val="en-GB"/>
        </w:rPr>
        <w:t>contract</w:t>
      </w:r>
      <w:r w:rsidR="00A6292D" w:rsidRPr="00F40BFC">
        <w:rPr>
          <w:sz w:val="22"/>
          <w:szCs w:val="22"/>
          <w:lang w:val="en-GB"/>
        </w:rPr>
        <w:t xml:space="preserve"> </w:t>
      </w:r>
      <w:r w:rsidRPr="00F40BFC">
        <w:rPr>
          <w:sz w:val="22"/>
          <w:szCs w:val="22"/>
          <w:lang w:val="en-GB"/>
        </w:rPr>
        <w:t>notice is to be published in all appropriate media, in particular on the Beneficiary’s web site, in the international press and the national press of the country in which the Action is being carried out, or in other specialist periodicals.</w:t>
      </w:r>
    </w:p>
    <w:p w:rsidR="00B56131" w:rsidRPr="00F40BFC" w:rsidRDefault="00B56131" w:rsidP="00E402F6">
      <w:pPr>
        <w:rPr>
          <w:sz w:val="22"/>
          <w:szCs w:val="22"/>
          <w:lang w:val="en-GB"/>
        </w:rPr>
      </w:pPr>
      <w:r w:rsidRPr="00F40BFC">
        <w:rPr>
          <w:sz w:val="22"/>
          <w:szCs w:val="22"/>
          <w:lang w:val="en-GB"/>
        </w:rPr>
        <w:t xml:space="preserve">Any contractor which fulfils the conditions referred to in section </w:t>
      </w:r>
      <w:r w:rsidR="009D57C8">
        <w:rPr>
          <w:sz w:val="22"/>
          <w:szCs w:val="22"/>
          <w:lang w:val="en-GB"/>
        </w:rPr>
        <w:t>2</w:t>
      </w:r>
      <w:r w:rsidRPr="00F40BFC">
        <w:rPr>
          <w:sz w:val="22"/>
          <w:szCs w:val="22"/>
          <w:lang w:val="en-GB"/>
        </w:rPr>
        <w:t xml:space="preserve"> may submit a tender.</w:t>
      </w:r>
    </w:p>
    <w:p w:rsidR="00B56131" w:rsidRPr="00F40BFC" w:rsidRDefault="00B56131" w:rsidP="00830C69">
      <w:pPr>
        <w:pStyle w:val="Heading2"/>
      </w:pPr>
      <w:r w:rsidRPr="00F40BFC">
        <w:t xml:space="preserve">Contracts of between </w:t>
      </w:r>
      <w:r w:rsidR="003C48E6">
        <w:t xml:space="preserve">EUR </w:t>
      </w:r>
      <w:r w:rsidRPr="00F40BFC">
        <w:t>300 000 and</w:t>
      </w:r>
      <w:r w:rsidR="00C8750C">
        <w:t xml:space="preserve"> less than</w:t>
      </w:r>
      <w:r w:rsidRPr="00F40BFC">
        <w:t xml:space="preserve"> </w:t>
      </w:r>
      <w:r w:rsidR="003C48E6">
        <w:t xml:space="preserve">EUR </w:t>
      </w:r>
      <w:r w:rsidRPr="00F40BFC">
        <w:t>5 000 000</w:t>
      </w:r>
    </w:p>
    <w:p w:rsidR="00B56131" w:rsidRPr="00F40BFC" w:rsidRDefault="00B56131" w:rsidP="00E402F6">
      <w:pPr>
        <w:rPr>
          <w:sz w:val="22"/>
          <w:szCs w:val="22"/>
          <w:lang w:val="en-GB"/>
        </w:rPr>
      </w:pPr>
      <w:r w:rsidRPr="00F40BFC">
        <w:rPr>
          <w:sz w:val="22"/>
          <w:szCs w:val="22"/>
          <w:lang w:val="en-GB"/>
        </w:rPr>
        <w:t xml:space="preserve">Such contracts </w:t>
      </w:r>
      <w:r w:rsidR="00C23870">
        <w:rPr>
          <w:sz w:val="22"/>
          <w:szCs w:val="22"/>
          <w:lang w:val="en-GB"/>
        </w:rPr>
        <w:t>must be</w:t>
      </w:r>
      <w:r w:rsidR="00C23870" w:rsidRPr="00F40BFC">
        <w:rPr>
          <w:sz w:val="22"/>
          <w:szCs w:val="22"/>
          <w:lang w:val="en-GB"/>
        </w:rPr>
        <w:t xml:space="preserve"> </w:t>
      </w:r>
      <w:r w:rsidRPr="00F40BFC">
        <w:rPr>
          <w:sz w:val="22"/>
          <w:szCs w:val="22"/>
          <w:lang w:val="en-GB"/>
        </w:rPr>
        <w:t xml:space="preserve">awarded by means of an open tender procedure published locally: the </w:t>
      </w:r>
      <w:r w:rsidR="00A6292D">
        <w:rPr>
          <w:sz w:val="22"/>
          <w:szCs w:val="22"/>
          <w:lang w:val="en-GB"/>
        </w:rPr>
        <w:t>contract</w:t>
      </w:r>
      <w:r w:rsidR="00A6292D" w:rsidRPr="00F40BFC">
        <w:rPr>
          <w:sz w:val="22"/>
          <w:szCs w:val="22"/>
          <w:lang w:val="en-GB"/>
        </w:rPr>
        <w:t xml:space="preserve"> </w:t>
      </w:r>
      <w:r w:rsidRPr="00F40BFC">
        <w:rPr>
          <w:sz w:val="22"/>
          <w:szCs w:val="22"/>
          <w:lang w:val="en-GB"/>
        </w:rPr>
        <w:t xml:space="preserve">notice is published in all appropriate media </w:t>
      </w:r>
      <w:r w:rsidR="009B7801">
        <w:rPr>
          <w:sz w:val="22"/>
          <w:szCs w:val="22"/>
          <w:lang w:val="en-GB"/>
        </w:rPr>
        <w:t>at least</w:t>
      </w:r>
      <w:r w:rsidRPr="00F40BFC">
        <w:rPr>
          <w:sz w:val="22"/>
          <w:szCs w:val="22"/>
          <w:lang w:val="en-GB"/>
        </w:rPr>
        <w:t xml:space="preserve"> in the country in which the Action is being carried out.</w:t>
      </w:r>
    </w:p>
    <w:p w:rsidR="00B56131" w:rsidRPr="00F40BFC" w:rsidRDefault="00B56131" w:rsidP="00E402F6">
      <w:pPr>
        <w:rPr>
          <w:sz w:val="22"/>
          <w:szCs w:val="22"/>
          <w:lang w:val="en-GB"/>
        </w:rPr>
      </w:pPr>
      <w:r w:rsidRPr="00F40BFC">
        <w:rPr>
          <w:sz w:val="22"/>
          <w:szCs w:val="22"/>
          <w:lang w:val="en-GB"/>
        </w:rPr>
        <w:t>A local open tender procedure must provide other eligible contractors with the same opportunities as local firms.</w:t>
      </w:r>
    </w:p>
    <w:p w:rsidR="00B56131" w:rsidRPr="00F40BFC" w:rsidRDefault="00B56131" w:rsidP="00830C69">
      <w:pPr>
        <w:pStyle w:val="Heading2"/>
      </w:pPr>
      <w:r w:rsidRPr="00F40BFC">
        <w:t xml:space="preserve">Contracts </w:t>
      </w:r>
      <w:r w:rsidR="00517B0A">
        <w:t>of less than</w:t>
      </w:r>
      <w:r w:rsidR="00517B0A" w:rsidRPr="00F40BFC">
        <w:t xml:space="preserve"> </w:t>
      </w:r>
      <w:r w:rsidR="003C48E6">
        <w:t xml:space="preserve">EUR </w:t>
      </w:r>
      <w:r w:rsidRPr="00F40BFC">
        <w:t>300 000</w:t>
      </w:r>
      <w:r w:rsidR="00517B0A">
        <w:t xml:space="preserve"> </w:t>
      </w:r>
      <w:r w:rsidR="00C8750C">
        <w:t>but</w:t>
      </w:r>
      <w:r w:rsidR="00517B0A">
        <w:t xml:space="preserve"> more than </w:t>
      </w:r>
      <w:r w:rsidR="003C48E6">
        <w:t xml:space="preserve">EUR </w:t>
      </w:r>
      <w:r w:rsidR="00517B0A">
        <w:t>60 000</w:t>
      </w:r>
    </w:p>
    <w:p w:rsidR="00B56131" w:rsidRPr="00F40BFC" w:rsidRDefault="00C8750C" w:rsidP="00E402F6">
      <w:pPr>
        <w:rPr>
          <w:sz w:val="22"/>
          <w:szCs w:val="22"/>
          <w:lang w:val="en-GB"/>
        </w:rPr>
      </w:pPr>
      <w:r>
        <w:rPr>
          <w:sz w:val="22"/>
          <w:szCs w:val="22"/>
          <w:lang w:val="en-GB"/>
        </w:rPr>
        <w:t>Such</w:t>
      </w:r>
      <w:r w:rsidRPr="00F40BFC">
        <w:rPr>
          <w:sz w:val="22"/>
          <w:szCs w:val="22"/>
          <w:lang w:val="en-GB"/>
        </w:rPr>
        <w:t xml:space="preserve"> </w:t>
      </w:r>
      <w:r w:rsidR="00A13DEF" w:rsidRPr="00F40BFC">
        <w:rPr>
          <w:sz w:val="22"/>
          <w:szCs w:val="22"/>
          <w:lang w:val="en-GB"/>
        </w:rPr>
        <w:t xml:space="preserve">contracts </w:t>
      </w:r>
      <w:r w:rsidR="00A13DEF">
        <w:rPr>
          <w:sz w:val="22"/>
          <w:szCs w:val="22"/>
          <w:lang w:val="en-GB"/>
        </w:rPr>
        <w:t>must</w:t>
      </w:r>
      <w:r w:rsidR="00B56131" w:rsidRPr="00F40BFC">
        <w:rPr>
          <w:sz w:val="22"/>
          <w:szCs w:val="22"/>
          <w:lang w:val="en-GB"/>
        </w:rPr>
        <w:t xml:space="preserve"> be awarded by means of a </w:t>
      </w:r>
      <w:r w:rsidR="00C23870">
        <w:rPr>
          <w:sz w:val="22"/>
          <w:szCs w:val="22"/>
          <w:lang w:val="en-GB"/>
        </w:rPr>
        <w:t xml:space="preserve">competitive </w:t>
      </w:r>
      <w:r w:rsidR="00B56131" w:rsidRPr="00F40BFC">
        <w:rPr>
          <w:sz w:val="22"/>
          <w:szCs w:val="22"/>
          <w:lang w:val="en-GB"/>
        </w:rPr>
        <w:t>negotiated procedure without publication, in which the Beneficiary consults at least three contractors of its choice and negotiates the terms of the contract with one or more of them.</w:t>
      </w:r>
    </w:p>
    <w:p w:rsidR="00517B0A" w:rsidRPr="00F40BFC" w:rsidRDefault="00517B0A" w:rsidP="00830C69">
      <w:pPr>
        <w:pStyle w:val="Heading2"/>
      </w:pPr>
      <w:r w:rsidRPr="00F40BFC">
        <w:t xml:space="preserve">Contracts </w:t>
      </w:r>
      <w:r w:rsidR="00A666D6">
        <w:t xml:space="preserve">of </w:t>
      </w:r>
      <w:r w:rsidR="003C48E6">
        <w:t xml:space="preserve">EUR </w:t>
      </w:r>
      <w:r>
        <w:t>60 000</w:t>
      </w:r>
      <w:r w:rsidR="00C8750C">
        <w:t xml:space="preserve"> or less</w:t>
      </w:r>
    </w:p>
    <w:p w:rsidR="00126EDD" w:rsidRDefault="00B56131" w:rsidP="00E402F6">
      <w:pPr>
        <w:rPr>
          <w:sz w:val="22"/>
          <w:szCs w:val="22"/>
          <w:lang w:val="en-GB"/>
        </w:rPr>
      </w:pPr>
      <w:r w:rsidRPr="00F40BFC">
        <w:rPr>
          <w:sz w:val="22"/>
          <w:szCs w:val="22"/>
          <w:lang w:val="en-GB"/>
        </w:rPr>
        <w:t xml:space="preserve">For works </w:t>
      </w:r>
      <w:r w:rsidR="00C8750C">
        <w:rPr>
          <w:sz w:val="22"/>
          <w:szCs w:val="22"/>
          <w:lang w:val="en-GB"/>
        </w:rPr>
        <w:t xml:space="preserve">contracts </w:t>
      </w:r>
      <w:r w:rsidRPr="00F40BFC">
        <w:rPr>
          <w:sz w:val="22"/>
          <w:szCs w:val="22"/>
          <w:lang w:val="en-GB"/>
        </w:rPr>
        <w:t xml:space="preserve">of  </w:t>
      </w:r>
      <w:r w:rsidR="003C48E6">
        <w:rPr>
          <w:sz w:val="22"/>
          <w:szCs w:val="22"/>
          <w:lang w:val="en-GB"/>
        </w:rPr>
        <w:t xml:space="preserve">EUR </w:t>
      </w:r>
      <w:r w:rsidR="00C23870">
        <w:rPr>
          <w:sz w:val="22"/>
          <w:szCs w:val="22"/>
          <w:lang w:val="en-GB"/>
        </w:rPr>
        <w:t>6</w:t>
      </w:r>
      <w:r w:rsidR="00523DCA">
        <w:rPr>
          <w:sz w:val="22"/>
          <w:szCs w:val="22"/>
          <w:lang w:val="en-GB"/>
        </w:rPr>
        <w:t xml:space="preserve">0 000 </w:t>
      </w:r>
      <w:r w:rsidRPr="00F40BFC">
        <w:rPr>
          <w:sz w:val="22"/>
          <w:szCs w:val="22"/>
          <w:lang w:val="en-GB"/>
        </w:rPr>
        <w:t xml:space="preserve">or less, </w:t>
      </w:r>
      <w:r w:rsidR="00C23870">
        <w:rPr>
          <w:sz w:val="22"/>
          <w:szCs w:val="22"/>
          <w:lang w:val="en-GB"/>
        </w:rPr>
        <w:t xml:space="preserve">the procedures established by the </w:t>
      </w:r>
      <w:r w:rsidR="0024553A" w:rsidRPr="0024553A">
        <w:rPr>
          <w:sz w:val="22"/>
          <w:szCs w:val="22"/>
          <w:lang w:val="en-GB"/>
        </w:rPr>
        <w:t xml:space="preserve">Beneficiary(ies) </w:t>
      </w:r>
      <w:r w:rsidR="00C23870">
        <w:rPr>
          <w:sz w:val="22"/>
          <w:szCs w:val="22"/>
          <w:lang w:val="en-GB"/>
        </w:rPr>
        <w:t xml:space="preserve">may be used, while respecting the rules and principles laid down in </w:t>
      </w:r>
      <w:r w:rsidR="007B7D3E">
        <w:rPr>
          <w:sz w:val="22"/>
          <w:szCs w:val="22"/>
          <w:lang w:val="en-GB"/>
        </w:rPr>
        <w:t xml:space="preserve">sections </w:t>
      </w:r>
      <w:r w:rsidR="00C23870">
        <w:rPr>
          <w:sz w:val="22"/>
          <w:szCs w:val="22"/>
          <w:lang w:val="en-GB"/>
        </w:rPr>
        <w:t>1, 2 and 3 of this annex.</w:t>
      </w:r>
      <w:r w:rsidR="00C23870" w:rsidRPr="00F40BFC" w:rsidDel="00C23870">
        <w:rPr>
          <w:sz w:val="22"/>
          <w:szCs w:val="22"/>
          <w:lang w:val="en-GB"/>
        </w:rPr>
        <w:t xml:space="preserve"> </w:t>
      </w:r>
    </w:p>
    <w:p w:rsidR="00126EDD" w:rsidRPr="00126EDD" w:rsidRDefault="00126EDD" w:rsidP="00D24797">
      <w:pPr>
        <w:pStyle w:val="Heading1"/>
        <w:numPr>
          <w:ilvl w:val="0"/>
          <w:numId w:val="3"/>
        </w:numPr>
        <w:spacing w:before="0"/>
        <w:ind w:left="482" w:hanging="482"/>
        <w:rPr>
          <w:lang w:val="en-GB"/>
        </w:rPr>
      </w:pPr>
      <w:r>
        <w:rPr>
          <w:lang w:val="en-GB"/>
        </w:rPr>
        <w:lastRenderedPageBreak/>
        <w:t>Use of negotiated procedure</w:t>
      </w:r>
      <w:r w:rsidRPr="00126EDD">
        <w:rPr>
          <w:lang w:val="en-GB"/>
        </w:rPr>
        <w:t xml:space="preserve"> </w:t>
      </w:r>
    </w:p>
    <w:p w:rsidR="00B56131" w:rsidRPr="00F40BFC" w:rsidRDefault="00B56131" w:rsidP="00E402F6">
      <w:pPr>
        <w:spacing w:after="120"/>
        <w:rPr>
          <w:sz w:val="22"/>
          <w:szCs w:val="22"/>
          <w:lang w:val="en-GB"/>
        </w:rPr>
      </w:pPr>
      <w:r w:rsidRPr="00F40BFC">
        <w:rPr>
          <w:sz w:val="22"/>
          <w:szCs w:val="22"/>
          <w:lang w:val="en-GB"/>
        </w:rPr>
        <w:t xml:space="preserve">The </w:t>
      </w:r>
      <w:r w:rsidR="0024553A" w:rsidRPr="0024553A">
        <w:rPr>
          <w:sz w:val="22"/>
          <w:szCs w:val="22"/>
          <w:lang w:val="en-GB"/>
        </w:rPr>
        <w:t xml:space="preserve">Beneficiary(ies) </w:t>
      </w:r>
      <w:r w:rsidRPr="00F40BFC">
        <w:rPr>
          <w:sz w:val="22"/>
          <w:szCs w:val="22"/>
          <w:lang w:val="en-GB"/>
        </w:rPr>
        <w:t xml:space="preserve">may </w:t>
      </w:r>
      <w:r w:rsidR="00EE79DA">
        <w:rPr>
          <w:sz w:val="22"/>
          <w:szCs w:val="22"/>
          <w:lang w:val="en-GB"/>
        </w:rPr>
        <w:t xml:space="preserve">decide to </w:t>
      </w:r>
      <w:r w:rsidRPr="00F40BFC">
        <w:rPr>
          <w:sz w:val="22"/>
          <w:szCs w:val="22"/>
          <w:lang w:val="en-GB"/>
        </w:rPr>
        <w:t>use the negotiated procedure on the basis of a single tender in the following cases:</w:t>
      </w:r>
    </w:p>
    <w:p w:rsidR="00B56131" w:rsidRPr="00F40BFC" w:rsidRDefault="00B56131" w:rsidP="00E402F6">
      <w:pPr>
        <w:spacing w:after="120"/>
        <w:ind w:left="426" w:hanging="426"/>
        <w:rPr>
          <w:sz w:val="22"/>
          <w:szCs w:val="22"/>
          <w:lang w:val="en-GB"/>
        </w:rPr>
      </w:pPr>
      <w:r w:rsidRPr="00F40BFC">
        <w:rPr>
          <w:sz w:val="22"/>
          <w:szCs w:val="22"/>
          <w:lang w:val="en-GB"/>
        </w:rPr>
        <w:t>(a)</w:t>
      </w:r>
      <w:r w:rsidRPr="00F40BFC">
        <w:rPr>
          <w:sz w:val="22"/>
          <w:szCs w:val="22"/>
          <w:lang w:val="en-GB"/>
        </w:rPr>
        <w:tab/>
      </w:r>
      <w:r w:rsidR="00A666D6" w:rsidRPr="00A666D6">
        <w:rPr>
          <w:sz w:val="22"/>
          <w:szCs w:val="22"/>
          <w:lang w:val="en-GB"/>
        </w:rPr>
        <w:t>for the purposes of humanitarian aid and civil protection operations or for crisis management aid</w:t>
      </w:r>
      <w:r w:rsidR="00A666D6">
        <w:rPr>
          <w:sz w:val="22"/>
          <w:szCs w:val="22"/>
          <w:lang w:val="en-GB"/>
        </w:rPr>
        <w:t>. Crisis situations may be invoked only when they have been formally</w:t>
      </w:r>
      <w:r w:rsidR="00A666D6" w:rsidRPr="00A666D6" w:rsidDel="00A666D6">
        <w:rPr>
          <w:sz w:val="22"/>
          <w:szCs w:val="22"/>
          <w:lang w:val="en-GB"/>
        </w:rPr>
        <w:t xml:space="preserve"> </w:t>
      </w:r>
      <w:r w:rsidR="00A666D6">
        <w:rPr>
          <w:sz w:val="22"/>
          <w:szCs w:val="22"/>
          <w:lang w:val="en-GB"/>
        </w:rPr>
        <w:t>recognised</w:t>
      </w:r>
      <w:r w:rsidRPr="00F40BFC">
        <w:rPr>
          <w:sz w:val="22"/>
          <w:szCs w:val="22"/>
          <w:lang w:val="en-GB"/>
        </w:rPr>
        <w:t xml:space="preserve"> by the </w:t>
      </w:r>
      <w:r w:rsidR="00A666D6">
        <w:rPr>
          <w:sz w:val="22"/>
          <w:szCs w:val="22"/>
          <w:lang w:val="en-GB"/>
        </w:rPr>
        <w:t xml:space="preserve">European </w:t>
      </w:r>
      <w:r w:rsidRPr="00F40BFC">
        <w:rPr>
          <w:sz w:val="22"/>
          <w:szCs w:val="22"/>
          <w:lang w:val="en-GB"/>
        </w:rPr>
        <w:t>Commission</w:t>
      </w:r>
      <w:r w:rsidR="00A666D6">
        <w:rPr>
          <w:sz w:val="22"/>
          <w:szCs w:val="22"/>
          <w:lang w:val="en-GB"/>
        </w:rPr>
        <w:t>.</w:t>
      </w:r>
      <w:r w:rsidRPr="00F40BFC">
        <w:rPr>
          <w:sz w:val="22"/>
          <w:szCs w:val="22"/>
          <w:lang w:val="en-GB"/>
        </w:rPr>
        <w:t xml:space="preserve"> The </w:t>
      </w:r>
      <w:r w:rsidR="00A666D6">
        <w:rPr>
          <w:sz w:val="22"/>
          <w:szCs w:val="22"/>
          <w:lang w:val="en-GB"/>
        </w:rPr>
        <w:t>Contracting Authority</w:t>
      </w:r>
      <w:r w:rsidR="00A666D6" w:rsidRPr="00F40BFC">
        <w:rPr>
          <w:sz w:val="22"/>
          <w:szCs w:val="22"/>
          <w:lang w:val="en-GB"/>
        </w:rPr>
        <w:t xml:space="preserve"> </w:t>
      </w:r>
      <w:r w:rsidRPr="00F40BFC">
        <w:rPr>
          <w:sz w:val="22"/>
          <w:szCs w:val="22"/>
          <w:lang w:val="en-GB"/>
        </w:rPr>
        <w:t xml:space="preserve">will inform the </w:t>
      </w:r>
      <w:r w:rsidR="0024553A">
        <w:rPr>
          <w:sz w:val="22"/>
          <w:szCs w:val="22"/>
          <w:lang w:val="en-GB"/>
        </w:rPr>
        <w:t>Coordinator</w:t>
      </w:r>
      <w:r w:rsidR="0024553A" w:rsidRPr="00F40BFC">
        <w:rPr>
          <w:sz w:val="22"/>
          <w:szCs w:val="22"/>
          <w:lang w:val="en-GB"/>
        </w:rPr>
        <w:t xml:space="preserve"> </w:t>
      </w:r>
      <w:r w:rsidRPr="00F40BFC">
        <w:rPr>
          <w:sz w:val="22"/>
          <w:szCs w:val="22"/>
          <w:lang w:val="en-GB"/>
        </w:rPr>
        <w:t xml:space="preserve">if a crisis situation </w:t>
      </w:r>
      <w:r w:rsidR="00A666D6">
        <w:rPr>
          <w:sz w:val="22"/>
          <w:szCs w:val="22"/>
          <w:lang w:val="en-GB"/>
        </w:rPr>
        <w:t>has been declared and the period for which the declaration will be in force.</w:t>
      </w:r>
    </w:p>
    <w:p w:rsidR="00B56131" w:rsidRPr="00F40BFC" w:rsidRDefault="00B56131" w:rsidP="00E402F6">
      <w:pPr>
        <w:spacing w:after="120"/>
        <w:ind w:left="426" w:hanging="426"/>
        <w:rPr>
          <w:sz w:val="22"/>
          <w:szCs w:val="22"/>
          <w:lang w:val="en-GB"/>
        </w:rPr>
      </w:pPr>
      <w:r w:rsidRPr="00F40BFC">
        <w:rPr>
          <w:sz w:val="22"/>
          <w:szCs w:val="22"/>
          <w:lang w:val="en-GB"/>
        </w:rPr>
        <w:t>(b)</w:t>
      </w:r>
      <w:r w:rsidRPr="00F40BFC">
        <w:rPr>
          <w:sz w:val="22"/>
          <w:szCs w:val="22"/>
          <w:lang w:val="en-GB"/>
        </w:rPr>
        <w:tab/>
        <w:t>where the services are entrusted to public-sector bodies or to non-profit institutions or associations and relate to activities of an institutional nature or designed to provide assistance to peoples in the social field;</w:t>
      </w:r>
    </w:p>
    <w:p w:rsidR="007E5F3F" w:rsidRDefault="00B56131" w:rsidP="00E402F6">
      <w:pPr>
        <w:spacing w:after="120"/>
        <w:ind w:left="426" w:hanging="426"/>
        <w:rPr>
          <w:sz w:val="22"/>
          <w:szCs w:val="22"/>
          <w:lang w:val="en-GB"/>
        </w:rPr>
      </w:pPr>
      <w:r w:rsidRPr="00F40BFC">
        <w:rPr>
          <w:sz w:val="22"/>
          <w:szCs w:val="22"/>
          <w:lang w:val="en-GB"/>
        </w:rPr>
        <w:t>(c)</w:t>
      </w:r>
      <w:r w:rsidRPr="00F40BFC">
        <w:rPr>
          <w:sz w:val="22"/>
          <w:szCs w:val="22"/>
          <w:lang w:val="en-GB"/>
        </w:rPr>
        <w:tab/>
      </w:r>
      <w:r w:rsidR="00F35BF2" w:rsidRPr="00F35BF2">
        <w:rPr>
          <w:sz w:val="22"/>
          <w:szCs w:val="22"/>
          <w:lang w:val="en-GB"/>
        </w:rPr>
        <w:t>where contracts extend on-going activities</w:t>
      </w:r>
      <w:r w:rsidR="007E5F3F">
        <w:rPr>
          <w:sz w:val="22"/>
          <w:szCs w:val="22"/>
          <w:lang w:val="en-GB"/>
        </w:rPr>
        <w:t>:</w:t>
      </w:r>
      <w:r w:rsidR="00F35BF2" w:rsidRPr="00F35BF2">
        <w:rPr>
          <w:sz w:val="22"/>
          <w:szCs w:val="22"/>
          <w:lang w:val="en-GB"/>
        </w:rPr>
        <w:t xml:space="preserve"> </w:t>
      </w:r>
    </w:p>
    <w:p w:rsidR="00044542" w:rsidRDefault="00F35BF2" w:rsidP="00E402F6">
      <w:pPr>
        <w:numPr>
          <w:ilvl w:val="5"/>
          <w:numId w:val="3"/>
        </w:numPr>
        <w:tabs>
          <w:tab w:val="clear" w:pos="2160"/>
          <w:tab w:val="num" w:pos="360"/>
        </w:tabs>
        <w:spacing w:after="120"/>
        <w:ind w:left="1080"/>
        <w:rPr>
          <w:sz w:val="22"/>
          <w:szCs w:val="22"/>
          <w:lang w:val="en-GB"/>
        </w:rPr>
      </w:pPr>
      <w:r w:rsidRPr="00F35BF2">
        <w:rPr>
          <w:sz w:val="22"/>
          <w:szCs w:val="22"/>
          <w:lang w:val="en-GB"/>
        </w:rPr>
        <w:t xml:space="preserve">not included in the main service contract which have </w:t>
      </w:r>
      <w:r w:rsidR="00151C27" w:rsidRPr="00F35BF2">
        <w:rPr>
          <w:sz w:val="22"/>
          <w:szCs w:val="22"/>
          <w:lang w:val="en-GB"/>
        </w:rPr>
        <w:t>become</w:t>
      </w:r>
      <w:r w:rsidRPr="00F35BF2">
        <w:rPr>
          <w:sz w:val="22"/>
          <w:szCs w:val="22"/>
          <w:lang w:val="en-GB"/>
        </w:rPr>
        <w:t xml:space="preserve"> necessary to perform the contract for unforeseen circumstances, and provided that the additional service cannot be technically and economically separated from the principal contract without serious inconvenience for the </w:t>
      </w:r>
      <w:r w:rsidR="0024553A" w:rsidRPr="0024553A">
        <w:rPr>
          <w:sz w:val="22"/>
          <w:szCs w:val="22"/>
          <w:lang w:val="en-GB"/>
        </w:rPr>
        <w:t xml:space="preserve">Beneficiary(ies) </w:t>
      </w:r>
      <w:r w:rsidRPr="00F35BF2">
        <w:rPr>
          <w:sz w:val="22"/>
          <w:szCs w:val="22"/>
          <w:lang w:val="en-GB"/>
        </w:rPr>
        <w:t>and the aggregate amount of additional services does not exceed 50 % of the value of the principal contract</w:t>
      </w:r>
      <w:r w:rsidR="007E5F3F">
        <w:rPr>
          <w:sz w:val="22"/>
          <w:szCs w:val="22"/>
          <w:lang w:val="en-GB"/>
        </w:rPr>
        <w:t>;</w:t>
      </w:r>
      <w:r w:rsidRPr="00F35BF2">
        <w:rPr>
          <w:sz w:val="22"/>
          <w:szCs w:val="22"/>
          <w:lang w:val="en-GB"/>
        </w:rPr>
        <w:t xml:space="preserve"> or </w:t>
      </w:r>
    </w:p>
    <w:p w:rsidR="007E5F3F" w:rsidRPr="00151C27" w:rsidRDefault="00F35BF2" w:rsidP="00E402F6">
      <w:pPr>
        <w:numPr>
          <w:ilvl w:val="5"/>
          <w:numId w:val="3"/>
        </w:numPr>
        <w:tabs>
          <w:tab w:val="clear" w:pos="2160"/>
          <w:tab w:val="num" w:pos="360"/>
        </w:tabs>
        <w:spacing w:after="120"/>
        <w:ind w:left="1080"/>
        <w:rPr>
          <w:sz w:val="22"/>
          <w:szCs w:val="22"/>
          <w:lang w:val="en-GB"/>
        </w:rPr>
      </w:pPr>
      <w:r w:rsidRPr="00044542">
        <w:rPr>
          <w:sz w:val="22"/>
          <w:szCs w:val="22"/>
          <w:lang w:val="en-GB"/>
        </w:rPr>
        <w:t xml:space="preserve">which consist in the repetition of similar services entrusted to the contractor providing services under the initial contract,  provided that: </w:t>
      </w:r>
    </w:p>
    <w:p w:rsidR="007E5F3F" w:rsidRDefault="00F35BF2" w:rsidP="00D24797">
      <w:pPr>
        <w:spacing w:after="120"/>
        <w:ind w:left="1560" w:hanging="426"/>
        <w:rPr>
          <w:sz w:val="22"/>
          <w:szCs w:val="22"/>
          <w:lang w:val="en-GB"/>
        </w:rPr>
      </w:pPr>
      <w:r w:rsidRPr="00F35BF2">
        <w:rPr>
          <w:sz w:val="22"/>
          <w:szCs w:val="22"/>
          <w:lang w:val="en-GB"/>
        </w:rPr>
        <w:t>(a)</w:t>
      </w:r>
      <w:r w:rsidR="00D24797">
        <w:rPr>
          <w:sz w:val="22"/>
          <w:szCs w:val="22"/>
          <w:lang w:val="en-GB"/>
        </w:rPr>
        <w:tab/>
      </w:r>
      <w:r w:rsidRPr="00F35BF2">
        <w:rPr>
          <w:sz w:val="22"/>
          <w:szCs w:val="22"/>
          <w:lang w:val="en-GB"/>
        </w:rPr>
        <w:t>a contract notice was published for the first service and the possibility of using the negotiated procedure for new services for the project and the estimated cost were clearly indicated in the contract notice published for the first service</w:t>
      </w:r>
      <w:r w:rsidR="007E5F3F">
        <w:rPr>
          <w:sz w:val="22"/>
          <w:szCs w:val="22"/>
          <w:lang w:val="en-GB"/>
        </w:rPr>
        <w:t>;</w:t>
      </w:r>
      <w:r w:rsidRPr="00F35BF2">
        <w:rPr>
          <w:sz w:val="22"/>
          <w:szCs w:val="22"/>
          <w:lang w:val="en-GB"/>
        </w:rPr>
        <w:t xml:space="preserve"> and </w:t>
      </w:r>
    </w:p>
    <w:p w:rsidR="00B56131" w:rsidRPr="00F40BFC" w:rsidRDefault="00D24797" w:rsidP="00D24797">
      <w:pPr>
        <w:spacing w:after="120"/>
        <w:ind w:left="1560" w:hanging="426"/>
        <w:rPr>
          <w:sz w:val="22"/>
          <w:szCs w:val="22"/>
          <w:lang w:val="en-GB"/>
        </w:rPr>
      </w:pPr>
      <w:r>
        <w:rPr>
          <w:sz w:val="22"/>
          <w:szCs w:val="22"/>
          <w:lang w:val="en-GB"/>
        </w:rPr>
        <w:t>(b)</w:t>
      </w:r>
      <w:r>
        <w:rPr>
          <w:sz w:val="22"/>
          <w:szCs w:val="22"/>
          <w:lang w:val="en-GB"/>
        </w:rPr>
        <w:tab/>
      </w:r>
      <w:r w:rsidR="00F35BF2" w:rsidRPr="00F35BF2">
        <w:rPr>
          <w:sz w:val="22"/>
          <w:szCs w:val="22"/>
          <w:lang w:val="en-GB"/>
        </w:rPr>
        <w:t>the extension of the contract for a value and duration not exceeding the value and the duration of the initial contract.</w:t>
      </w:r>
    </w:p>
    <w:p w:rsidR="00B56131" w:rsidRPr="00F40BFC" w:rsidRDefault="00B56131" w:rsidP="00E402F6">
      <w:pPr>
        <w:spacing w:after="120"/>
        <w:ind w:left="426" w:hanging="426"/>
        <w:rPr>
          <w:sz w:val="22"/>
          <w:szCs w:val="22"/>
          <w:lang w:val="en-GB"/>
        </w:rPr>
      </w:pPr>
      <w:r w:rsidRPr="00F40BFC">
        <w:rPr>
          <w:sz w:val="22"/>
          <w:szCs w:val="22"/>
          <w:lang w:val="en-GB"/>
        </w:rPr>
        <w:t>(d)</w:t>
      </w:r>
      <w:r w:rsidRPr="00F40BFC">
        <w:rPr>
          <w:sz w:val="22"/>
          <w:szCs w:val="22"/>
          <w:lang w:val="en-GB"/>
        </w:rPr>
        <w:tab/>
        <w:t xml:space="preserve">for additional deliveries by the original supplier intended either as a partial replacement of normal supplies or installations or as the extension of existing supplies or installations, where a change of supplier would oblige the </w:t>
      </w:r>
      <w:r w:rsidR="0024553A" w:rsidRPr="0024553A">
        <w:rPr>
          <w:sz w:val="22"/>
          <w:szCs w:val="22"/>
          <w:lang w:val="en-GB"/>
        </w:rPr>
        <w:t xml:space="preserve">Beneficiary(ies) </w:t>
      </w:r>
      <w:r w:rsidRPr="00F40BFC">
        <w:rPr>
          <w:sz w:val="22"/>
          <w:szCs w:val="22"/>
          <w:lang w:val="en-GB"/>
        </w:rPr>
        <w:t>to acquire equipment having different technical characteristics which would result in either incompatibility or disproportionate technical difficulties in operation and maintenance;</w:t>
      </w:r>
    </w:p>
    <w:p w:rsidR="00B56131" w:rsidRPr="00C07FB1" w:rsidRDefault="00B56131" w:rsidP="00E402F6">
      <w:pPr>
        <w:spacing w:after="120"/>
        <w:ind w:left="426" w:hanging="426"/>
        <w:rPr>
          <w:sz w:val="22"/>
          <w:szCs w:val="22"/>
          <w:lang w:val="en-GB"/>
        </w:rPr>
      </w:pPr>
      <w:r w:rsidRPr="00F40BFC">
        <w:rPr>
          <w:sz w:val="22"/>
          <w:szCs w:val="22"/>
          <w:lang w:val="en-GB"/>
        </w:rPr>
        <w:t>(e)</w:t>
      </w:r>
      <w:r w:rsidRPr="00F40BFC">
        <w:rPr>
          <w:sz w:val="22"/>
          <w:szCs w:val="22"/>
          <w:lang w:val="en-GB"/>
        </w:rPr>
        <w:tab/>
        <w:t>for additional works not included in the initial contract concluded which have, through unforeseen circumstances, become necessary for carrying out the works</w:t>
      </w:r>
      <w:r w:rsidR="00C07FB1">
        <w:rPr>
          <w:sz w:val="22"/>
          <w:szCs w:val="22"/>
          <w:lang w:val="en-GB"/>
        </w:rPr>
        <w:t xml:space="preserve"> and on condition that</w:t>
      </w:r>
      <w:r w:rsidR="00C07FB1" w:rsidRPr="00C07FB1">
        <w:rPr>
          <w:sz w:val="22"/>
          <w:szCs w:val="22"/>
          <w:lang w:val="en-GB"/>
        </w:rPr>
        <w:t xml:space="preserve"> such works cannot be technically or economically separated from the main contract without serious inconvenience for the </w:t>
      </w:r>
      <w:r w:rsidR="0024553A" w:rsidRPr="0024553A">
        <w:rPr>
          <w:sz w:val="22"/>
          <w:szCs w:val="22"/>
          <w:lang w:val="en-GB"/>
        </w:rPr>
        <w:t xml:space="preserve">Beneficiary(ies) </w:t>
      </w:r>
      <w:r w:rsidR="00C07FB1">
        <w:rPr>
          <w:sz w:val="22"/>
          <w:szCs w:val="22"/>
          <w:lang w:val="en-GB"/>
        </w:rPr>
        <w:t xml:space="preserve"> and on the condition </w:t>
      </w:r>
      <w:r w:rsidR="007E5F3F">
        <w:rPr>
          <w:sz w:val="22"/>
          <w:szCs w:val="22"/>
          <w:lang w:val="en-GB"/>
        </w:rPr>
        <w:t>that</w:t>
      </w:r>
      <w:r w:rsidR="00C07FB1">
        <w:rPr>
          <w:sz w:val="22"/>
          <w:szCs w:val="22"/>
          <w:lang w:val="en-GB"/>
        </w:rPr>
        <w:t>,</w:t>
      </w:r>
      <w:r w:rsidR="00C07FB1" w:rsidRPr="00C07FB1">
        <w:rPr>
          <w:sz w:val="22"/>
          <w:szCs w:val="22"/>
          <w:lang w:val="en-GB"/>
        </w:rPr>
        <w:t xml:space="preserve"> although separable from the performance of the original contract, are strictly necessary for its completion</w:t>
      </w:r>
      <w:r w:rsidR="00C07FB1">
        <w:rPr>
          <w:lang w:val="en-GB"/>
        </w:rPr>
        <w:t xml:space="preserve"> and </w:t>
      </w:r>
      <w:r w:rsidR="00C07FB1" w:rsidRPr="00C07FB1">
        <w:rPr>
          <w:sz w:val="22"/>
          <w:szCs w:val="22"/>
          <w:lang w:val="en-GB"/>
        </w:rPr>
        <w:t>where the aggregate value of contracts awarded for additional works does not exceed 50 % of the value of the principal contract.</w:t>
      </w:r>
    </w:p>
    <w:p w:rsidR="00657A26" w:rsidRPr="00F40BFC" w:rsidRDefault="00B56131" w:rsidP="00E402F6">
      <w:pPr>
        <w:spacing w:after="120"/>
        <w:ind w:left="426" w:hanging="426"/>
        <w:rPr>
          <w:sz w:val="22"/>
          <w:szCs w:val="22"/>
          <w:lang w:val="en-GB"/>
        </w:rPr>
      </w:pPr>
      <w:r w:rsidRPr="00F40BFC">
        <w:rPr>
          <w:sz w:val="22"/>
          <w:szCs w:val="22"/>
          <w:lang w:val="en-GB"/>
        </w:rPr>
        <w:t>(f)</w:t>
      </w:r>
      <w:r w:rsidRPr="00F40BFC">
        <w:rPr>
          <w:sz w:val="22"/>
          <w:szCs w:val="22"/>
          <w:lang w:val="en-GB"/>
        </w:rPr>
        <w:tab/>
        <w:t>where the tender procedure has been unsuccessful, that is where no qualitatively and/or financially worthwhile tender has been received. In such cases, after cancelling the tender procedure, the Beneficiary may negotiate with one or more tenderers of its choice, from among those that took part in the tender procedure, provided that the initial terms of the tender procedure are not substantially altered;</w:t>
      </w:r>
    </w:p>
    <w:p w:rsidR="00B56131" w:rsidRPr="00F40BFC" w:rsidRDefault="00B56131" w:rsidP="00E402F6">
      <w:pPr>
        <w:spacing w:after="120"/>
        <w:ind w:left="426" w:hanging="426"/>
        <w:rPr>
          <w:sz w:val="22"/>
          <w:szCs w:val="22"/>
          <w:lang w:val="en-GB"/>
        </w:rPr>
      </w:pPr>
      <w:r w:rsidRPr="00F40BFC">
        <w:rPr>
          <w:sz w:val="22"/>
          <w:szCs w:val="22"/>
          <w:lang w:val="en-GB"/>
        </w:rPr>
        <w:t>(g)</w:t>
      </w:r>
      <w:r w:rsidRPr="00F40BFC">
        <w:rPr>
          <w:sz w:val="22"/>
          <w:szCs w:val="22"/>
          <w:lang w:val="en-GB"/>
        </w:rPr>
        <w:tab/>
        <w:t>where the contract concerned follows a contest and must, under the rules applying, be awarded to the winner of the contest or to one of the winners of the contest, in which case, all winners shall be invited to participate in the negotiations;</w:t>
      </w:r>
    </w:p>
    <w:p w:rsidR="00B56131" w:rsidRPr="00F40BFC" w:rsidRDefault="00B56131" w:rsidP="00E402F6">
      <w:pPr>
        <w:spacing w:after="120"/>
        <w:ind w:left="426" w:hanging="426"/>
        <w:rPr>
          <w:sz w:val="22"/>
          <w:szCs w:val="22"/>
          <w:lang w:val="en-GB"/>
        </w:rPr>
      </w:pPr>
      <w:r w:rsidRPr="00F40BFC">
        <w:rPr>
          <w:sz w:val="22"/>
          <w:szCs w:val="22"/>
          <w:lang w:val="en-GB"/>
        </w:rPr>
        <w:t>(h)</w:t>
      </w:r>
      <w:r w:rsidRPr="00F40BFC">
        <w:rPr>
          <w:sz w:val="22"/>
          <w:szCs w:val="22"/>
          <w:lang w:val="en-GB"/>
        </w:rPr>
        <w:tab/>
        <w:t>where, for technical reasons, or for reasons connected with the protection of exclusive rights, the contract can be awarded only to a particular service provider;</w:t>
      </w:r>
    </w:p>
    <w:p w:rsidR="00657A26" w:rsidRDefault="00B56131" w:rsidP="00E402F6">
      <w:pPr>
        <w:spacing w:after="120"/>
        <w:ind w:left="426" w:hanging="426"/>
        <w:rPr>
          <w:sz w:val="22"/>
          <w:szCs w:val="22"/>
          <w:lang w:val="en-GB"/>
        </w:rPr>
      </w:pPr>
      <w:r w:rsidRPr="00F40BFC">
        <w:rPr>
          <w:sz w:val="22"/>
          <w:szCs w:val="22"/>
          <w:lang w:val="en-GB"/>
        </w:rPr>
        <w:t>(i)</w:t>
      </w:r>
      <w:r w:rsidRPr="00F40BFC">
        <w:rPr>
          <w:sz w:val="22"/>
          <w:szCs w:val="22"/>
          <w:lang w:val="en-GB"/>
        </w:rPr>
        <w:tab/>
        <w:t>where warranted by the nature or particular characteristics of the supplies, for example, where performance of the contract is exclusively reserved for the holders of pat</w:t>
      </w:r>
      <w:r w:rsidR="002C7B83">
        <w:rPr>
          <w:sz w:val="22"/>
          <w:szCs w:val="22"/>
          <w:lang w:val="en-GB"/>
        </w:rPr>
        <w:t>ents or licences to use patents;</w:t>
      </w:r>
    </w:p>
    <w:p w:rsidR="00156A00" w:rsidRDefault="00156A00" w:rsidP="00E402F6">
      <w:pPr>
        <w:spacing w:after="120"/>
        <w:ind w:left="426" w:hanging="426"/>
        <w:rPr>
          <w:sz w:val="22"/>
          <w:szCs w:val="22"/>
          <w:lang w:val="en-GB"/>
        </w:rPr>
      </w:pPr>
      <w:r w:rsidRPr="00F40BFC">
        <w:rPr>
          <w:sz w:val="22"/>
          <w:szCs w:val="22"/>
          <w:lang w:val="en-GB"/>
        </w:rPr>
        <w:t>(</w:t>
      </w:r>
      <w:r>
        <w:rPr>
          <w:sz w:val="22"/>
          <w:szCs w:val="22"/>
          <w:lang w:val="en-GB"/>
        </w:rPr>
        <w:t>j</w:t>
      </w:r>
      <w:r w:rsidRPr="00F40BFC">
        <w:rPr>
          <w:sz w:val="22"/>
          <w:szCs w:val="22"/>
          <w:lang w:val="en-GB"/>
        </w:rPr>
        <w:t>)</w:t>
      </w:r>
      <w:r w:rsidRPr="00F40BFC">
        <w:rPr>
          <w:sz w:val="22"/>
          <w:szCs w:val="22"/>
          <w:lang w:val="en-GB"/>
        </w:rPr>
        <w:tab/>
        <w:t>where</w:t>
      </w:r>
      <w:r>
        <w:rPr>
          <w:sz w:val="22"/>
          <w:szCs w:val="22"/>
          <w:lang w:val="en-GB"/>
        </w:rPr>
        <w:t xml:space="preserve"> the orders are placed </w:t>
      </w:r>
      <w:r w:rsidR="001524F3">
        <w:rPr>
          <w:sz w:val="22"/>
          <w:szCs w:val="22"/>
          <w:lang w:val="en-GB"/>
        </w:rPr>
        <w:t xml:space="preserve">with a </w:t>
      </w:r>
      <w:r w:rsidR="00C212FF">
        <w:rPr>
          <w:sz w:val="22"/>
          <w:szCs w:val="22"/>
          <w:lang w:val="en-GB"/>
        </w:rPr>
        <w:t>Humanitarian Procurement Centre</w:t>
      </w:r>
      <w:r w:rsidR="00F76F8F">
        <w:rPr>
          <w:sz w:val="22"/>
          <w:szCs w:val="22"/>
          <w:lang w:val="en-GB"/>
        </w:rPr>
        <w:t>, recognised as such</w:t>
      </w:r>
      <w:r w:rsidR="001524F3">
        <w:rPr>
          <w:sz w:val="22"/>
          <w:szCs w:val="22"/>
          <w:lang w:val="en-GB"/>
        </w:rPr>
        <w:t xml:space="preserve"> by the </w:t>
      </w:r>
      <w:r w:rsidR="00F76F8F">
        <w:rPr>
          <w:sz w:val="22"/>
          <w:szCs w:val="22"/>
          <w:lang w:val="en-GB"/>
        </w:rPr>
        <w:t>relevant</w:t>
      </w:r>
      <w:r w:rsidR="001524F3">
        <w:rPr>
          <w:sz w:val="22"/>
          <w:szCs w:val="22"/>
          <w:lang w:val="en-GB"/>
        </w:rPr>
        <w:t xml:space="preserve"> service of the European Commission</w:t>
      </w:r>
      <w:r w:rsidR="00493FF8">
        <w:rPr>
          <w:sz w:val="22"/>
          <w:szCs w:val="22"/>
          <w:lang w:val="en-GB"/>
        </w:rPr>
        <w:t xml:space="preserve"> or with a central buying office (see section 8.5)</w:t>
      </w:r>
      <w:r w:rsidR="001524F3">
        <w:rPr>
          <w:sz w:val="22"/>
          <w:szCs w:val="22"/>
          <w:lang w:val="en-GB"/>
        </w:rPr>
        <w:t>;</w:t>
      </w:r>
    </w:p>
    <w:p w:rsidR="001524F3" w:rsidRDefault="001524F3" w:rsidP="00E402F6">
      <w:pPr>
        <w:ind w:left="426" w:hanging="426"/>
        <w:rPr>
          <w:sz w:val="22"/>
          <w:szCs w:val="22"/>
          <w:lang w:val="en-GB"/>
        </w:rPr>
      </w:pPr>
      <w:r>
        <w:rPr>
          <w:sz w:val="22"/>
          <w:szCs w:val="22"/>
          <w:lang w:val="en-GB"/>
        </w:rPr>
        <w:lastRenderedPageBreak/>
        <w:t>(k)</w:t>
      </w:r>
      <w:r>
        <w:rPr>
          <w:sz w:val="22"/>
          <w:szCs w:val="22"/>
          <w:lang w:val="en-GB"/>
        </w:rPr>
        <w:tab/>
        <w:t xml:space="preserve">for the issue of the expenditure verification report and the financial guarantee where they are required under the </w:t>
      </w:r>
      <w:r w:rsidR="00F61953">
        <w:rPr>
          <w:sz w:val="22"/>
          <w:szCs w:val="22"/>
          <w:lang w:val="en-GB"/>
        </w:rPr>
        <w:t>c</w:t>
      </w:r>
      <w:r>
        <w:rPr>
          <w:sz w:val="22"/>
          <w:szCs w:val="22"/>
          <w:lang w:val="en-GB"/>
        </w:rPr>
        <w:t>ontract</w:t>
      </w:r>
      <w:r w:rsidR="008F64D4">
        <w:rPr>
          <w:sz w:val="22"/>
          <w:szCs w:val="22"/>
          <w:lang w:val="en-GB"/>
        </w:rPr>
        <w:t>;</w:t>
      </w:r>
    </w:p>
    <w:p w:rsidR="008F64D4" w:rsidRDefault="008F64D4" w:rsidP="00E402F6">
      <w:pPr>
        <w:ind w:left="426" w:hanging="426"/>
        <w:rPr>
          <w:sz w:val="22"/>
          <w:szCs w:val="22"/>
          <w:lang w:val="en-GB"/>
        </w:rPr>
      </w:pPr>
      <w:r>
        <w:rPr>
          <w:sz w:val="22"/>
          <w:szCs w:val="22"/>
          <w:lang w:val="en-GB"/>
        </w:rPr>
        <w:t>(l)</w:t>
      </w:r>
      <w:r>
        <w:rPr>
          <w:sz w:val="22"/>
          <w:szCs w:val="22"/>
          <w:lang w:val="en-GB"/>
        </w:rPr>
        <w:tab/>
      </w:r>
      <w:r w:rsidRPr="008F64D4">
        <w:rPr>
          <w:sz w:val="22"/>
          <w:szCs w:val="22"/>
          <w:lang w:val="en-GB"/>
        </w:rPr>
        <w:t xml:space="preserve">for contracts declared to be secret, or for contracts whose performance must be accompanied by special security measures or when the protection of the essential interests of the European Union or the </w:t>
      </w:r>
      <w:r w:rsidR="00DA180B">
        <w:rPr>
          <w:sz w:val="22"/>
          <w:szCs w:val="22"/>
          <w:lang w:val="en-GB"/>
        </w:rPr>
        <w:t>partner</w:t>
      </w:r>
      <w:r w:rsidR="00DA180B" w:rsidRPr="008F64D4">
        <w:rPr>
          <w:sz w:val="22"/>
          <w:szCs w:val="22"/>
          <w:lang w:val="en-GB"/>
        </w:rPr>
        <w:t xml:space="preserve"> </w:t>
      </w:r>
      <w:r w:rsidRPr="008F64D4">
        <w:rPr>
          <w:sz w:val="22"/>
          <w:szCs w:val="22"/>
          <w:lang w:val="en-GB"/>
        </w:rPr>
        <w:t>country so requires</w:t>
      </w:r>
      <w:r>
        <w:rPr>
          <w:sz w:val="22"/>
          <w:szCs w:val="22"/>
          <w:lang w:val="en-GB"/>
        </w:rPr>
        <w:t>;</w:t>
      </w:r>
    </w:p>
    <w:p w:rsidR="008F64D4" w:rsidRDefault="008F64D4" w:rsidP="00E402F6">
      <w:pPr>
        <w:ind w:left="426" w:hanging="426"/>
        <w:rPr>
          <w:sz w:val="22"/>
          <w:szCs w:val="22"/>
          <w:lang w:val="en-GB"/>
        </w:rPr>
      </w:pPr>
      <w:r>
        <w:rPr>
          <w:sz w:val="22"/>
          <w:szCs w:val="22"/>
          <w:lang w:val="en-GB"/>
        </w:rPr>
        <w:t>(m)</w:t>
      </w:r>
      <w:r>
        <w:rPr>
          <w:sz w:val="22"/>
          <w:szCs w:val="22"/>
          <w:lang w:val="en-GB"/>
        </w:rPr>
        <w:tab/>
      </w:r>
      <w:r w:rsidRPr="008F64D4">
        <w:rPr>
          <w:sz w:val="22"/>
          <w:szCs w:val="22"/>
          <w:lang w:val="en-GB"/>
        </w:rPr>
        <w:t>for contracts in respect of supplies quoted and purchased on a commodity market</w:t>
      </w:r>
      <w:r>
        <w:rPr>
          <w:sz w:val="22"/>
          <w:szCs w:val="22"/>
          <w:lang w:val="en-GB"/>
        </w:rPr>
        <w:t>;</w:t>
      </w:r>
    </w:p>
    <w:p w:rsidR="008F64D4" w:rsidRDefault="008F64D4" w:rsidP="00E402F6">
      <w:pPr>
        <w:ind w:left="426" w:hanging="426"/>
        <w:rPr>
          <w:sz w:val="22"/>
          <w:szCs w:val="22"/>
          <w:lang w:val="en-GB"/>
        </w:rPr>
      </w:pPr>
      <w:r>
        <w:rPr>
          <w:sz w:val="22"/>
          <w:szCs w:val="22"/>
          <w:lang w:val="en-GB"/>
        </w:rPr>
        <w:t>(n)</w:t>
      </w:r>
      <w:r>
        <w:rPr>
          <w:sz w:val="22"/>
          <w:szCs w:val="22"/>
          <w:lang w:val="en-GB"/>
        </w:rPr>
        <w:tab/>
      </w:r>
      <w:r w:rsidRPr="008F64D4">
        <w:rPr>
          <w:sz w:val="22"/>
          <w:szCs w:val="22"/>
          <w:lang w:val="en-GB"/>
        </w:rPr>
        <w:t>for contracts in respect of purchases on particularly advantageous terms, either from a supplier which is definitively winding up its business activities, or from the receivers or liquidators of a bankruptcy, an arrangement with creditors, or a similar procedure under national law</w:t>
      </w:r>
      <w:r w:rsidR="00556097">
        <w:rPr>
          <w:sz w:val="22"/>
          <w:szCs w:val="22"/>
          <w:lang w:val="en-GB"/>
        </w:rPr>
        <w:t>;</w:t>
      </w:r>
    </w:p>
    <w:p w:rsidR="00D60822" w:rsidRPr="00D60822" w:rsidRDefault="00066868" w:rsidP="00E402F6">
      <w:pPr>
        <w:ind w:left="426" w:hanging="426"/>
        <w:rPr>
          <w:sz w:val="22"/>
          <w:szCs w:val="22"/>
          <w:lang w:val="en-GB"/>
        </w:rPr>
      </w:pPr>
      <w:r>
        <w:rPr>
          <w:sz w:val="22"/>
          <w:szCs w:val="22"/>
          <w:lang w:val="en-GB"/>
        </w:rPr>
        <w:t>(o)</w:t>
      </w:r>
      <w:r w:rsidR="0013483E">
        <w:rPr>
          <w:sz w:val="22"/>
          <w:szCs w:val="22"/>
          <w:lang w:val="en-GB"/>
        </w:rPr>
        <w:tab/>
      </w:r>
      <w:r w:rsidR="00D60822" w:rsidRPr="00553B2F">
        <w:rPr>
          <w:sz w:val="22"/>
          <w:szCs w:val="22"/>
          <w:lang w:val="en-GB"/>
        </w:rPr>
        <w:t>where a new contract has to be concluded after early termination of an existing contract</w:t>
      </w:r>
      <w:r w:rsidR="00D60822">
        <w:rPr>
          <w:sz w:val="22"/>
          <w:szCs w:val="22"/>
          <w:lang w:val="en-GB"/>
        </w:rPr>
        <w:t>.</w:t>
      </w:r>
    </w:p>
    <w:p w:rsidR="00B56131" w:rsidRDefault="00B56131" w:rsidP="00E402F6">
      <w:pPr>
        <w:pStyle w:val="Heading1"/>
        <w:keepNext w:val="0"/>
        <w:numPr>
          <w:ilvl w:val="0"/>
          <w:numId w:val="3"/>
        </w:numPr>
        <w:spacing w:before="0"/>
        <w:ind w:left="482" w:hanging="482"/>
        <w:rPr>
          <w:szCs w:val="24"/>
          <w:lang w:val="en-GB"/>
        </w:rPr>
      </w:pPr>
      <w:bookmarkStart w:id="14" w:name="_Ref17802638"/>
      <w:r w:rsidRPr="00B45343">
        <w:rPr>
          <w:szCs w:val="24"/>
          <w:lang w:val="en-GB"/>
        </w:rPr>
        <w:t>Special cases</w:t>
      </w:r>
    </w:p>
    <w:p w:rsidR="00EE79DA" w:rsidRPr="00553B2F" w:rsidRDefault="00EE79DA" w:rsidP="00E402F6">
      <w:pPr>
        <w:pStyle w:val="Text1"/>
        <w:rPr>
          <w:sz w:val="22"/>
          <w:szCs w:val="22"/>
          <w:lang w:val="en-GB"/>
        </w:rPr>
      </w:pPr>
      <w:r w:rsidRPr="00553B2F">
        <w:rPr>
          <w:sz w:val="22"/>
          <w:szCs w:val="22"/>
          <w:lang w:val="en-GB"/>
        </w:rPr>
        <w:t>Different rules than those specified in this annex may apply in the following cases, with the exception</w:t>
      </w:r>
      <w:r w:rsidR="004B236F" w:rsidRPr="00553B2F">
        <w:rPr>
          <w:sz w:val="22"/>
          <w:szCs w:val="22"/>
          <w:lang w:val="en-GB"/>
        </w:rPr>
        <w:t xml:space="preserve"> of the principles describ</w:t>
      </w:r>
      <w:r w:rsidR="004B236F">
        <w:rPr>
          <w:sz w:val="22"/>
          <w:szCs w:val="22"/>
          <w:lang w:val="en-GB"/>
        </w:rPr>
        <w:t>ed in section 1 and the rules on</w:t>
      </w:r>
      <w:r w:rsidR="004B236F" w:rsidRPr="00553B2F">
        <w:rPr>
          <w:sz w:val="22"/>
          <w:szCs w:val="22"/>
          <w:lang w:val="en-GB"/>
        </w:rPr>
        <w:t xml:space="preserve"> nationality and origin provided for in section 2, which always apply.</w:t>
      </w:r>
    </w:p>
    <w:bookmarkEnd w:id="14"/>
    <w:p w:rsidR="00B56131" w:rsidRPr="00F40BFC" w:rsidRDefault="00B56131" w:rsidP="00830C69">
      <w:pPr>
        <w:pStyle w:val="Heading2"/>
      </w:pPr>
      <w:r w:rsidRPr="00F40BFC">
        <w:t>Co-financing</w:t>
      </w:r>
    </w:p>
    <w:p w:rsidR="00797604" w:rsidRPr="00A510B8" w:rsidRDefault="004B236F" w:rsidP="00E402F6">
      <w:pPr>
        <w:spacing w:after="120"/>
        <w:ind w:left="426"/>
        <w:rPr>
          <w:sz w:val="22"/>
          <w:szCs w:val="22"/>
          <w:lang w:val="en-GB"/>
        </w:rPr>
      </w:pPr>
      <w:r w:rsidRPr="004B236F">
        <w:rPr>
          <w:sz w:val="22"/>
          <w:szCs w:val="22"/>
          <w:lang w:val="en-GB"/>
        </w:rPr>
        <w:t>When</w:t>
      </w:r>
      <w:r w:rsidR="00E30037">
        <w:rPr>
          <w:sz w:val="22"/>
          <w:szCs w:val="22"/>
          <w:lang w:val="en-GB"/>
        </w:rPr>
        <w:t xml:space="preserve"> </w:t>
      </w:r>
      <w:r w:rsidR="00B56131" w:rsidRPr="00553B2F">
        <w:rPr>
          <w:sz w:val="22"/>
          <w:szCs w:val="22"/>
          <w:lang w:val="en-GB"/>
        </w:rPr>
        <w:t>the Action is co</w:t>
      </w:r>
      <w:r w:rsidR="001A18E0" w:rsidRPr="00553B2F">
        <w:rPr>
          <w:sz w:val="22"/>
          <w:szCs w:val="22"/>
          <w:lang w:val="en-GB"/>
        </w:rPr>
        <w:t>-</w:t>
      </w:r>
      <w:r w:rsidR="00B56131" w:rsidRPr="00553B2F">
        <w:rPr>
          <w:sz w:val="22"/>
          <w:szCs w:val="22"/>
          <w:lang w:val="en-GB"/>
        </w:rPr>
        <w:t>financed by several donors and</w:t>
      </w:r>
      <w:r w:rsidR="00E30037">
        <w:rPr>
          <w:sz w:val="22"/>
          <w:szCs w:val="22"/>
          <w:lang w:val="en-GB"/>
        </w:rPr>
        <w:t xml:space="preserve"> </w:t>
      </w:r>
      <w:r w:rsidR="00B56131" w:rsidRPr="00553B2F">
        <w:rPr>
          <w:sz w:val="22"/>
          <w:szCs w:val="22"/>
          <w:lang w:val="en-GB"/>
        </w:rPr>
        <w:t xml:space="preserve">one of the other donors, whose contribution </w:t>
      </w:r>
      <w:r w:rsidR="00B56131" w:rsidRPr="004B236F">
        <w:rPr>
          <w:sz w:val="22"/>
          <w:szCs w:val="22"/>
          <w:lang w:val="en-GB"/>
        </w:rPr>
        <w:t xml:space="preserve">is greater than that of the </w:t>
      </w:r>
      <w:r>
        <w:rPr>
          <w:sz w:val="22"/>
          <w:szCs w:val="22"/>
          <w:lang w:val="en-GB"/>
        </w:rPr>
        <w:t xml:space="preserve">European </w:t>
      </w:r>
      <w:r w:rsidR="00B56131" w:rsidRPr="004B236F">
        <w:rPr>
          <w:sz w:val="22"/>
          <w:szCs w:val="22"/>
          <w:lang w:val="en-GB"/>
        </w:rPr>
        <w:t xml:space="preserve">Commission, imposes procurement rules on the </w:t>
      </w:r>
      <w:r w:rsidR="0024553A" w:rsidRPr="0024553A">
        <w:rPr>
          <w:sz w:val="22"/>
          <w:szCs w:val="22"/>
          <w:lang w:val="en-GB"/>
        </w:rPr>
        <w:t xml:space="preserve">Beneficiary(ies) </w:t>
      </w:r>
      <w:r w:rsidR="00B56131" w:rsidRPr="004B236F">
        <w:rPr>
          <w:sz w:val="22"/>
          <w:szCs w:val="22"/>
          <w:lang w:val="en-GB"/>
        </w:rPr>
        <w:t xml:space="preserve">that differ from those set out in sections </w:t>
      </w:r>
      <w:r w:rsidR="009D57C8">
        <w:rPr>
          <w:sz w:val="22"/>
          <w:szCs w:val="22"/>
          <w:lang w:val="en-GB"/>
        </w:rPr>
        <w:t>3</w:t>
      </w:r>
      <w:r w:rsidR="00B56131" w:rsidRPr="00DD58C2">
        <w:rPr>
          <w:sz w:val="22"/>
          <w:szCs w:val="22"/>
          <w:lang w:val="en-GB"/>
        </w:rPr>
        <w:t xml:space="preserve"> to</w:t>
      </w:r>
      <w:r w:rsidR="003D11EE">
        <w:rPr>
          <w:sz w:val="22"/>
          <w:szCs w:val="22"/>
          <w:lang w:val="en-GB"/>
        </w:rPr>
        <w:t xml:space="preserve"> 7</w:t>
      </w:r>
      <w:r w:rsidR="00B56131" w:rsidRPr="00DD58C2">
        <w:rPr>
          <w:sz w:val="22"/>
          <w:szCs w:val="22"/>
          <w:lang w:val="en-GB"/>
        </w:rPr>
        <w:t>,</w:t>
      </w:r>
      <w:r w:rsidR="00ED6A88">
        <w:rPr>
          <w:sz w:val="22"/>
          <w:szCs w:val="22"/>
          <w:lang w:val="en-GB"/>
        </w:rPr>
        <w:t xml:space="preserve"> </w:t>
      </w:r>
      <w:r w:rsidR="00B56131" w:rsidRPr="00DD58C2">
        <w:rPr>
          <w:sz w:val="22"/>
          <w:szCs w:val="22"/>
          <w:lang w:val="en-GB"/>
        </w:rPr>
        <w:t xml:space="preserve">the </w:t>
      </w:r>
      <w:r w:rsidR="0024553A" w:rsidRPr="0024553A">
        <w:rPr>
          <w:sz w:val="22"/>
          <w:szCs w:val="22"/>
          <w:lang w:val="en-GB"/>
        </w:rPr>
        <w:t xml:space="preserve">Beneficiary(ies) </w:t>
      </w:r>
      <w:r w:rsidR="00B56131" w:rsidRPr="00DD58C2">
        <w:rPr>
          <w:sz w:val="22"/>
          <w:szCs w:val="22"/>
          <w:lang w:val="en-GB"/>
        </w:rPr>
        <w:t xml:space="preserve">may apply </w:t>
      </w:r>
      <w:r w:rsidR="00B56131" w:rsidRPr="004B236F">
        <w:rPr>
          <w:sz w:val="22"/>
          <w:szCs w:val="22"/>
          <w:lang w:val="en-GB"/>
        </w:rPr>
        <w:t>the</w:t>
      </w:r>
      <w:r>
        <w:rPr>
          <w:sz w:val="22"/>
          <w:szCs w:val="22"/>
          <w:lang w:val="en-GB"/>
        </w:rPr>
        <w:t>se</w:t>
      </w:r>
      <w:r w:rsidR="00B56131" w:rsidRPr="004B236F">
        <w:rPr>
          <w:sz w:val="22"/>
          <w:szCs w:val="22"/>
          <w:lang w:val="en-GB"/>
        </w:rPr>
        <w:t xml:space="preserve"> rules.</w:t>
      </w:r>
    </w:p>
    <w:p w:rsidR="00B56131" w:rsidRPr="00F40BFC" w:rsidRDefault="00B56131" w:rsidP="00830C69">
      <w:pPr>
        <w:pStyle w:val="Heading2"/>
      </w:pPr>
      <w:r w:rsidRPr="00F40BFC">
        <w:t>Public administrations of the Member States</w:t>
      </w:r>
    </w:p>
    <w:p w:rsidR="00B56131" w:rsidRDefault="00B56131" w:rsidP="004742EC">
      <w:pPr>
        <w:ind w:left="426"/>
        <w:rPr>
          <w:sz w:val="22"/>
          <w:szCs w:val="22"/>
          <w:lang w:val="en-GB"/>
        </w:rPr>
      </w:pPr>
      <w:r w:rsidRPr="00F40BFC">
        <w:rPr>
          <w:sz w:val="22"/>
          <w:szCs w:val="22"/>
          <w:lang w:val="en-GB"/>
        </w:rPr>
        <w:t xml:space="preserve">Where the </w:t>
      </w:r>
      <w:r w:rsidR="0024553A" w:rsidRPr="0024553A">
        <w:rPr>
          <w:sz w:val="22"/>
          <w:szCs w:val="22"/>
          <w:lang w:val="en-GB"/>
        </w:rPr>
        <w:t xml:space="preserve">Beneficiary(ies) </w:t>
      </w:r>
      <w:r w:rsidR="009315F9">
        <w:rPr>
          <w:sz w:val="22"/>
          <w:szCs w:val="22"/>
          <w:lang w:val="en-GB"/>
        </w:rPr>
        <w:t>or a</w:t>
      </w:r>
      <w:r w:rsidR="0024553A">
        <w:rPr>
          <w:sz w:val="22"/>
          <w:szCs w:val="22"/>
          <w:lang w:val="en-GB"/>
        </w:rPr>
        <w:t>n affiliated</w:t>
      </w:r>
      <w:r w:rsidR="009315F9">
        <w:rPr>
          <w:sz w:val="22"/>
          <w:szCs w:val="22"/>
          <w:lang w:val="en-GB"/>
        </w:rPr>
        <w:t xml:space="preserve"> </w:t>
      </w:r>
      <w:r w:rsidR="0024553A">
        <w:rPr>
          <w:sz w:val="22"/>
          <w:szCs w:val="22"/>
          <w:lang w:val="en-GB"/>
        </w:rPr>
        <w:t xml:space="preserve">entity </w:t>
      </w:r>
      <w:r w:rsidRPr="00F40BFC">
        <w:rPr>
          <w:sz w:val="22"/>
          <w:szCs w:val="22"/>
          <w:lang w:val="en-GB"/>
        </w:rPr>
        <w:t xml:space="preserve">is a contracting authority and/or a contracting entity within the meaning of the </w:t>
      </w:r>
      <w:r w:rsidR="00A510B8" w:rsidRPr="00A510B8">
        <w:rPr>
          <w:sz w:val="22"/>
          <w:szCs w:val="22"/>
          <w:lang w:val="en-GB"/>
        </w:rPr>
        <w:t>EU</w:t>
      </w:r>
      <w:r w:rsidR="00A510B8" w:rsidRPr="00A510B8" w:rsidDel="00A510B8">
        <w:rPr>
          <w:sz w:val="22"/>
          <w:szCs w:val="22"/>
          <w:lang w:val="en-GB"/>
        </w:rPr>
        <w:t xml:space="preserve"> </w:t>
      </w:r>
      <w:r w:rsidRPr="00F40BFC">
        <w:rPr>
          <w:sz w:val="22"/>
          <w:szCs w:val="22"/>
          <w:lang w:val="en-GB"/>
        </w:rPr>
        <w:t>Directives applicable to procurement procedures, it must apply the relevant provisions of those texts, in preference to the rules set out in</w:t>
      </w:r>
      <w:r w:rsidR="004742EC">
        <w:rPr>
          <w:sz w:val="22"/>
          <w:szCs w:val="22"/>
          <w:lang w:val="en-GB"/>
        </w:rPr>
        <w:t xml:space="preserve"> this annex</w:t>
      </w:r>
      <w:r w:rsidRPr="00F40BFC">
        <w:rPr>
          <w:sz w:val="22"/>
          <w:szCs w:val="22"/>
          <w:lang w:val="en-GB"/>
        </w:rPr>
        <w:t>.</w:t>
      </w:r>
      <w:r w:rsidR="009315F9">
        <w:rPr>
          <w:sz w:val="22"/>
          <w:szCs w:val="22"/>
          <w:lang w:val="en-GB"/>
        </w:rPr>
        <w:t xml:space="preserve"> </w:t>
      </w:r>
      <w:r w:rsidR="004742EC">
        <w:rPr>
          <w:sz w:val="22"/>
          <w:szCs w:val="22"/>
          <w:lang w:val="en-GB"/>
        </w:rPr>
        <w:t>Notwithstanding the foregoing, the r</w:t>
      </w:r>
      <w:r w:rsidRPr="00F40BFC">
        <w:rPr>
          <w:sz w:val="22"/>
          <w:szCs w:val="22"/>
          <w:lang w:val="en-GB"/>
        </w:rPr>
        <w:t xml:space="preserve">ules on nationality and origin set out in </w:t>
      </w:r>
      <w:r w:rsidR="00A90513">
        <w:rPr>
          <w:sz w:val="22"/>
          <w:szCs w:val="22"/>
          <w:lang w:val="en-GB"/>
        </w:rPr>
        <w:t xml:space="preserve">section </w:t>
      </w:r>
      <w:r w:rsidR="007B38C4">
        <w:fldChar w:fldCharType="begin"/>
      </w:r>
      <w:r w:rsidR="007B38C4">
        <w:instrText xml:space="preserve"> REF _Ref41358995 \r \h  \* MERGEFORMAT </w:instrText>
      </w:r>
      <w:r w:rsidR="007B38C4">
        <w:fldChar w:fldCharType="separate"/>
      </w:r>
      <w:r w:rsidR="00A916EB">
        <w:t>2</w:t>
      </w:r>
      <w:r w:rsidR="007B38C4">
        <w:fldChar w:fldCharType="end"/>
      </w:r>
      <w:r w:rsidRPr="00F40BFC">
        <w:rPr>
          <w:sz w:val="22"/>
          <w:szCs w:val="22"/>
          <w:lang w:val="en-GB"/>
        </w:rPr>
        <w:t xml:space="preserve"> still apply.</w:t>
      </w:r>
    </w:p>
    <w:p w:rsidR="009315F9" w:rsidRDefault="009315F9" w:rsidP="00830C69">
      <w:pPr>
        <w:pStyle w:val="Heading2"/>
      </w:pPr>
      <w:r>
        <w:t>International Organisations</w:t>
      </w:r>
    </w:p>
    <w:p w:rsidR="00982141" w:rsidRDefault="00E01CB7" w:rsidP="00E402F6">
      <w:pPr>
        <w:ind w:left="426"/>
        <w:rPr>
          <w:sz w:val="22"/>
          <w:szCs w:val="22"/>
          <w:lang w:val="en-GB"/>
        </w:rPr>
      </w:pPr>
      <w:r w:rsidRPr="00AF19A8">
        <w:rPr>
          <w:sz w:val="22"/>
          <w:szCs w:val="22"/>
          <w:lang w:val="en-GB"/>
        </w:rPr>
        <w:t xml:space="preserve">Where </w:t>
      </w:r>
      <w:r w:rsidR="004B236F">
        <w:rPr>
          <w:sz w:val="22"/>
          <w:szCs w:val="22"/>
          <w:lang w:val="en-GB"/>
        </w:rPr>
        <w:t xml:space="preserve">the </w:t>
      </w:r>
      <w:r w:rsidR="0024553A" w:rsidRPr="0024553A">
        <w:rPr>
          <w:sz w:val="22"/>
          <w:szCs w:val="22"/>
          <w:lang w:val="en-GB"/>
        </w:rPr>
        <w:t xml:space="preserve">Beneficiary(ies) </w:t>
      </w:r>
      <w:r w:rsidR="004B236F">
        <w:rPr>
          <w:sz w:val="22"/>
          <w:szCs w:val="22"/>
          <w:lang w:val="en-GB"/>
        </w:rPr>
        <w:t xml:space="preserve">or </w:t>
      </w:r>
      <w:r w:rsidR="0024553A" w:rsidRPr="0024553A">
        <w:rPr>
          <w:sz w:val="22"/>
          <w:szCs w:val="22"/>
          <w:lang w:val="en-GB"/>
        </w:rPr>
        <w:t xml:space="preserve">an affiliated entity </w:t>
      </w:r>
      <w:r w:rsidRPr="00AF19A8">
        <w:rPr>
          <w:sz w:val="22"/>
          <w:szCs w:val="22"/>
          <w:lang w:val="en-GB"/>
        </w:rPr>
        <w:t xml:space="preserve">is an international organisation, </w:t>
      </w:r>
      <w:r w:rsidRPr="003E2247">
        <w:rPr>
          <w:sz w:val="22"/>
          <w:szCs w:val="22"/>
          <w:lang w:val="en-GB"/>
        </w:rPr>
        <w:t xml:space="preserve">it </w:t>
      </w:r>
      <w:r w:rsidR="003E2247" w:rsidRPr="0013483E">
        <w:rPr>
          <w:sz w:val="22"/>
          <w:szCs w:val="22"/>
          <w:lang w:val="en-GB"/>
        </w:rPr>
        <w:t xml:space="preserve">applies its own procurement rules if they offer guarantees equivalent to internationally accepted standards. Where </w:t>
      </w:r>
      <w:r w:rsidR="00357B6B">
        <w:rPr>
          <w:sz w:val="22"/>
          <w:szCs w:val="22"/>
          <w:lang w:val="en-GB"/>
        </w:rPr>
        <w:t>its pillars have been positively assessed</w:t>
      </w:r>
      <w:r w:rsidR="003E2247">
        <w:rPr>
          <w:sz w:val="22"/>
          <w:szCs w:val="22"/>
          <w:lang w:val="en-GB"/>
        </w:rPr>
        <w:t xml:space="preserve"> the relevant rules are considered equivalent</w:t>
      </w:r>
      <w:r w:rsidRPr="00AF19A8">
        <w:rPr>
          <w:sz w:val="22"/>
          <w:szCs w:val="22"/>
          <w:lang w:val="en-GB"/>
        </w:rPr>
        <w:t xml:space="preserve">. If </w:t>
      </w:r>
      <w:r w:rsidR="003E2247">
        <w:rPr>
          <w:sz w:val="22"/>
          <w:szCs w:val="22"/>
          <w:lang w:val="en-GB"/>
        </w:rPr>
        <w:t>the Organisation's rules do not offer equivalent guarantees</w:t>
      </w:r>
      <w:r w:rsidR="004B236F">
        <w:rPr>
          <w:sz w:val="22"/>
          <w:szCs w:val="22"/>
          <w:lang w:val="en-GB"/>
        </w:rPr>
        <w:t>,</w:t>
      </w:r>
      <w:r w:rsidRPr="00AF19A8">
        <w:rPr>
          <w:sz w:val="22"/>
          <w:szCs w:val="22"/>
          <w:lang w:val="en-GB"/>
        </w:rPr>
        <w:t xml:space="preserve"> or in specific cases, the </w:t>
      </w:r>
      <w:r w:rsidR="004B236F">
        <w:rPr>
          <w:sz w:val="22"/>
          <w:szCs w:val="22"/>
          <w:lang w:val="en-GB"/>
        </w:rPr>
        <w:t xml:space="preserve">European </w:t>
      </w:r>
      <w:r w:rsidRPr="00AF19A8">
        <w:rPr>
          <w:sz w:val="22"/>
          <w:szCs w:val="22"/>
          <w:lang w:val="en-GB"/>
        </w:rPr>
        <w:t xml:space="preserve">Commission and the Beneficiary </w:t>
      </w:r>
      <w:r w:rsidR="004B236F">
        <w:rPr>
          <w:sz w:val="22"/>
          <w:szCs w:val="22"/>
          <w:lang w:val="en-GB"/>
        </w:rPr>
        <w:t xml:space="preserve">will </w:t>
      </w:r>
      <w:r w:rsidR="003E2247">
        <w:rPr>
          <w:sz w:val="22"/>
          <w:szCs w:val="22"/>
          <w:lang w:val="en-GB"/>
        </w:rPr>
        <w:t xml:space="preserve"> </w:t>
      </w:r>
      <w:r w:rsidRPr="00AF19A8">
        <w:rPr>
          <w:sz w:val="22"/>
          <w:szCs w:val="22"/>
          <w:lang w:val="en-GB"/>
        </w:rPr>
        <w:t>agree on the use of other procurement procedures offer</w:t>
      </w:r>
      <w:r w:rsidR="003D3454">
        <w:rPr>
          <w:sz w:val="22"/>
          <w:szCs w:val="22"/>
          <w:lang w:val="en-GB"/>
        </w:rPr>
        <w:t>ing</w:t>
      </w:r>
      <w:r w:rsidR="003D11EE">
        <w:rPr>
          <w:sz w:val="22"/>
          <w:szCs w:val="22"/>
          <w:lang w:val="en-GB"/>
        </w:rPr>
        <w:t xml:space="preserve"> such guarantees.</w:t>
      </w:r>
      <w:r w:rsidR="00357B6B">
        <w:rPr>
          <w:sz w:val="22"/>
          <w:szCs w:val="22"/>
          <w:lang w:val="en-GB"/>
        </w:rPr>
        <w:t xml:space="preserve"> </w:t>
      </w:r>
      <w:r w:rsidR="00626093">
        <w:rPr>
          <w:sz w:val="22"/>
          <w:szCs w:val="22"/>
          <w:lang w:val="en-GB"/>
        </w:rPr>
        <w:t>In this case, t</w:t>
      </w:r>
      <w:r w:rsidR="00357B6B">
        <w:rPr>
          <w:sz w:val="22"/>
          <w:szCs w:val="22"/>
          <w:lang w:val="en-GB"/>
        </w:rPr>
        <w:t>he rules to be followed are set forth in the Special Conditions.</w:t>
      </w:r>
    </w:p>
    <w:p w:rsidR="00AB60CA" w:rsidRPr="00982141" w:rsidRDefault="00982141" w:rsidP="00E402F6">
      <w:pPr>
        <w:ind w:left="426"/>
        <w:rPr>
          <w:sz w:val="22"/>
          <w:szCs w:val="22"/>
          <w:lang w:val="en-GB"/>
        </w:rPr>
      </w:pPr>
      <w:r w:rsidRPr="00982141">
        <w:rPr>
          <w:sz w:val="22"/>
          <w:szCs w:val="22"/>
          <w:lang w:val="en-GB"/>
        </w:rPr>
        <w:t>If allowed by the applicable regulatory provisions of the European Union, the origin of the goods and the nationality of the organisations, companies and experts selected for carrying out activities in the Action shall be determined in accordance with the Organisation’s relevant rules.  In any event goods, organisations, companies and experts eligible under the applicable regulatory provisions of the European Union shall be eligible.</w:t>
      </w:r>
      <w:r w:rsidR="00AB60CA" w:rsidRPr="00982141" w:rsidDel="00AB60CA">
        <w:rPr>
          <w:sz w:val="22"/>
          <w:szCs w:val="22"/>
          <w:lang w:val="en-GB"/>
        </w:rPr>
        <w:t xml:space="preserve"> </w:t>
      </w:r>
    </w:p>
    <w:p w:rsidR="00E01CB7" w:rsidRDefault="00982141" w:rsidP="00E402F6">
      <w:pPr>
        <w:ind w:left="426"/>
        <w:rPr>
          <w:sz w:val="22"/>
          <w:szCs w:val="22"/>
          <w:lang w:val="en-GB"/>
        </w:rPr>
      </w:pPr>
      <w:r w:rsidRPr="00982141">
        <w:rPr>
          <w:sz w:val="22"/>
          <w:szCs w:val="22"/>
          <w:lang w:val="en-GB"/>
        </w:rPr>
        <w:t xml:space="preserve">In all other cases the contractors and </w:t>
      </w:r>
      <w:r w:rsidR="00E01C71">
        <w:rPr>
          <w:sz w:val="22"/>
          <w:szCs w:val="22"/>
          <w:lang w:val="en-GB"/>
        </w:rPr>
        <w:t xml:space="preserve">supplies </w:t>
      </w:r>
      <w:r w:rsidRPr="00982141">
        <w:rPr>
          <w:sz w:val="22"/>
          <w:szCs w:val="22"/>
          <w:lang w:val="en-GB"/>
        </w:rPr>
        <w:t xml:space="preserve">shall originate in </w:t>
      </w:r>
      <w:r w:rsidR="00F8546F" w:rsidRPr="00F40BFC">
        <w:rPr>
          <w:sz w:val="22"/>
          <w:szCs w:val="22"/>
          <w:lang w:val="en-GB"/>
        </w:rPr>
        <w:t xml:space="preserve">the Member States </w:t>
      </w:r>
      <w:r w:rsidR="00F8546F">
        <w:rPr>
          <w:sz w:val="22"/>
          <w:szCs w:val="22"/>
          <w:lang w:val="en-GB"/>
        </w:rPr>
        <w:t xml:space="preserve">or </w:t>
      </w:r>
      <w:r w:rsidR="00F8546F" w:rsidRPr="00F40BFC">
        <w:rPr>
          <w:sz w:val="22"/>
          <w:szCs w:val="22"/>
          <w:lang w:val="en-GB"/>
        </w:rPr>
        <w:t xml:space="preserve">the </w:t>
      </w:r>
      <w:r w:rsidR="00630711">
        <w:rPr>
          <w:sz w:val="22"/>
          <w:szCs w:val="22"/>
          <w:lang w:val="en-GB"/>
        </w:rPr>
        <w:t>countries</w:t>
      </w:r>
      <w:r w:rsidR="00F8546F">
        <w:rPr>
          <w:sz w:val="22"/>
          <w:szCs w:val="22"/>
          <w:lang w:val="en-GB"/>
        </w:rPr>
        <w:t>,</w:t>
      </w:r>
      <w:r w:rsidR="00F8546F" w:rsidRPr="00F40BFC">
        <w:rPr>
          <w:sz w:val="22"/>
          <w:szCs w:val="22"/>
          <w:lang w:val="en-GB"/>
        </w:rPr>
        <w:t xml:space="preserve"> territories o</w:t>
      </w:r>
      <w:r w:rsidR="00F8546F">
        <w:rPr>
          <w:sz w:val="22"/>
          <w:szCs w:val="22"/>
          <w:lang w:val="en-GB"/>
        </w:rPr>
        <w:t>r</w:t>
      </w:r>
      <w:r w:rsidR="00F8546F" w:rsidRPr="00F40BFC">
        <w:rPr>
          <w:sz w:val="22"/>
          <w:szCs w:val="22"/>
          <w:lang w:val="en-GB"/>
        </w:rPr>
        <w:t xml:space="preserve"> regions </w:t>
      </w:r>
      <w:r w:rsidR="004708DC">
        <w:rPr>
          <w:sz w:val="22"/>
          <w:szCs w:val="22"/>
          <w:lang w:val="en-GB"/>
        </w:rPr>
        <w:t xml:space="preserve">mentioned as eligible </w:t>
      </w:r>
      <w:r w:rsidR="004708DC" w:rsidRPr="00F40BFC">
        <w:rPr>
          <w:sz w:val="22"/>
          <w:szCs w:val="22"/>
          <w:lang w:val="en-GB"/>
        </w:rPr>
        <w:t xml:space="preserve">by the </w:t>
      </w:r>
      <w:r w:rsidR="004708DC">
        <w:rPr>
          <w:sz w:val="22"/>
          <w:szCs w:val="22"/>
          <w:lang w:val="en-GB"/>
        </w:rPr>
        <w:t xml:space="preserve">relevant regulation/basic act </w:t>
      </w:r>
      <w:r w:rsidR="004708DC" w:rsidRPr="00F40BFC">
        <w:rPr>
          <w:sz w:val="22"/>
          <w:szCs w:val="22"/>
          <w:lang w:val="en-GB"/>
        </w:rPr>
        <w:t xml:space="preserve">governing </w:t>
      </w:r>
      <w:r w:rsidR="004708DC">
        <w:rPr>
          <w:sz w:val="22"/>
          <w:szCs w:val="22"/>
          <w:lang w:val="en-GB"/>
        </w:rPr>
        <w:t xml:space="preserve">the eligibility rules for </w:t>
      </w:r>
      <w:r w:rsidR="004708DC" w:rsidRPr="00F40BFC">
        <w:rPr>
          <w:sz w:val="22"/>
          <w:szCs w:val="22"/>
          <w:lang w:val="en-GB"/>
        </w:rPr>
        <w:t>the grant</w:t>
      </w:r>
      <w:r w:rsidR="004708DC">
        <w:rPr>
          <w:sz w:val="22"/>
          <w:szCs w:val="22"/>
          <w:lang w:val="en-GB"/>
        </w:rPr>
        <w:t xml:space="preserve"> as per Annexes a2a to a2c to the Practical Guide</w:t>
      </w:r>
      <w:r w:rsidRPr="00982141">
        <w:rPr>
          <w:sz w:val="22"/>
          <w:szCs w:val="22"/>
          <w:lang w:val="en-GB"/>
        </w:rPr>
        <w:t>. Any departure from the rules of origin and nationality set out above is subject to the specific provisions of the applicable regulatory provisions of the European Union.</w:t>
      </w:r>
    </w:p>
    <w:p w:rsidR="00060CDF" w:rsidRPr="00E402F6" w:rsidRDefault="00060CDF" w:rsidP="00830C69">
      <w:pPr>
        <w:pStyle w:val="Heading2"/>
      </w:pPr>
      <w:r w:rsidRPr="00E402F6">
        <w:lastRenderedPageBreak/>
        <w:t>Traditional Agencies</w:t>
      </w:r>
    </w:p>
    <w:p w:rsidR="00060CDF" w:rsidRPr="00F24968" w:rsidRDefault="00060CDF" w:rsidP="00E402F6">
      <w:pPr>
        <w:ind w:left="426"/>
        <w:rPr>
          <w:sz w:val="22"/>
          <w:szCs w:val="22"/>
          <w:lang w:val="en-GB"/>
        </w:rPr>
      </w:pPr>
      <w:r w:rsidRPr="00F24968">
        <w:rPr>
          <w:sz w:val="22"/>
          <w:szCs w:val="22"/>
          <w:lang w:val="en-GB"/>
        </w:rPr>
        <w:t>Where the Beneficiary(ies) or an affiliated entity is a traditional agency (public legal entities created by the Union legislator to exercise Union competences is specific areas of expertise), it applies its own procurement rules.</w:t>
      </w:r>
    </w:p>
    <w:p w:rsidR="00E01CB7" w:rsidRDefault="00057C45" w:rsidP="00830C69">
      <w:pPr>
        <w:pStyle w:val="Heading2"/>
      </w:pPr>
      <w:r>
        <w:t>Central Buying Offices</w:t>
      </w:r>
      <w:r w:rsidR="00680565">
        <w:t xml:space="preserve"> /</w:t>
      </w:r>
      <w:r w:rsidR="00493FF8">
        <w:t xml:space="preserve"> </w:t>
      </w:r>
      <w:r w:rsidR="00680565">
        <w:t>Humanitarian Procurement Centres</w:t>
      </w:r>
    </w:p>
    <w:p w:rsidR="00275217" w:rsidRDefault="00E01CB7" w:rsidP="00E402F6">
      <w:pPr>
        <w:ind w:left="426"/>
        <w:rPr>
          <w:sz w:val="22"/>
          <w:szCs w:val="22"/>
          <w:lang w:val="en-GB"/>
        </w:rPr>
      </w:pPr>
      <w:r>
        <w:rPr>
          <w:sz w:val="22"/>
          <w:szCs w:val="22"/>
          <w:lang w:val="en-GB"/>
        </w:rPr>
        <w:t xml:space="preserve">Where </w:t>
      </w:r>
      <w:r w:rsidR="0024553A">
        <w:rPr>
          <w:sz w:val="22"/>
          <w:szCs w:val="22"/>
          <w:lang w:val="en-GB"/>
        </w:rPr>
        <w:t xml:space="preserve">the Beneficiary(ies) </w:t>
      </w:r>
      <w:r w:rsidR="00057C45">
        <w:rPr>
          <w:sz w:val="22"/>
          <w:szCs w:val="22"/>
          <w:lang w:val="en-GB"/>
        </w:rPr>
        <w:t>uses</w:t>
      </w:r>
      <w:r>
        <w:rPr>
          <w:sz w:val="22"/>
          <w:szCs w:val="22"/>
          <w:lang w:val="en-GB"/>
        </w:rPr>
        <w:t xml:space="preserve"> a </w:t>
      </w:r>
      <w:r w:rsidR="00057C45">
        <w:rPr>
          <w:sz w:val="22"/>
          <w:szCs w:val="22"/>
          <w:lang w:val="en-GB"/>
        </w:rPr>
        <w:t>central buying office</w:t>
      </w:r>
      <w:r w:rsidR="00EF56C9">
        <w:rPr>
          <w:sz w:val="22"/>
          <w:szCs w:val="22"/>
          <w:lang w:val="en-GB"/>
        </w:rPr>
        <w:t xml:space="preserve"> </w:t>
      </w:r>
      <w:r w:rsidR="00057C45">
        <w:rPr>
          <w:sz w:val="22"/>
          <w:szCs w:val="22"/>
          <w:lang w:val="en-GB"/>
        </w:rPr>
        <w:t>as service provider</w:t>
      </w:r>
      <w:r>
        <w:rPr>
          <w:sz w:val="22"/>
          <w:szCs w:val="22"/>
          <w:lang w:val="en-GB"/>
        </w:rPr>
        <w:t>, he selects it in conformity with the procedures set out above for service contracts.</w:t>
      </w:r>
      <w:r w:rsidR="00275217">
        <w:rPr>
          <w:sz w:val="22"/>
          <w:szCs w:val="22"/>
          <w:lang w:val="en-GB"/>
        </w:rPr>
        <w:t xml:space="preserve"> </w:t>
      </w:r>
      <w:r w:rsidR="00AF19A8">
        <w:rPr>
          <w:sz w:val="22"/>
          <w:szCs w:val="22"/>
          <w:lang w:val="en-GB"/>
        </w:rPr>
        <w:t xml:space="preserve">This </w:t>
      </w:r>
      <w:r w:rsidR="00057C45">
        <w:rPr>
          <w:sz w:val="22"/>
          <w:szCs w:val="22"/>
          <w:lang w:val="en-GB"/>
        </w:rPr>
        <w:t>central buying office</w:t>
      </w:r>
      <w:r w:rsidR="00AF19A8">
        <w:rPr>
          <w:sz w:val="22"/>
          <w:szCs w:val="22"/>
          <w:lang w:val="en-GB"/>
        </w:rPr>
        <w:t xml:space="preserve"> applies the rules imposed on the Beneficiary. </w:t>
      </w:r>
    </w:p>
    <w:p w:rsidR="004D2855" w:rsidRDefault="00AF19A8" w:rsidP="00E402F6">
      <w:pPr>
        <w:ind w:left="426"/>
        <w:rPr>
          <w:sz w:val="22"/>
          <w:szCs w:val="22"/>
          <w:lang w:val="en-GB"/>
        </w:rPr>
      </w:pPr>
      <w:r>
        <w:rPr>
          <w:sz w:val="22"/>
          <w:szCs w:val="22"/>
          <w:lang w:val="en-GB"/>
        </w:rPr>
        <w:t xml:space="preserve">Where a </w:t>
      </w:r>
      <w:r w:rsidR="00C212FF">
        <w:rPr>
          <w:sz w:val="22"/>
          <w:szCs w:val="22"/>
          <w:lang w:val="en-GB"/>
        </w:rPr>
        <w:t xml:space="preserve">Humanitarian Procurement Centre </w:t>
      </w:r>
      <w:r w:rsidR="00057C45">
        <w:rPr>
          <w:sz w:val="22"/>
          <w:szCs w:val="22"/>
          <w:lang w:val="en-GB"/>
        </w:rPr>
        <w:t xml:space="preserve">recognised as such by </w:t>
      </w:r>
      <w:r>
        <w:rPr>
          <w:sz w:val="22"/>
          <w:szCs w:val="22"/>
          <w:lang w:val="en-GB"/>
        </w:rPr>
        <w:t>the European Commission</w:t>
      </w:r>
      <w:r w:rsidR="00E32D83">
        <w:rPr>
          <w:sz w:val="22"/>
          <w:szCs w:val="22"/>
          <w:lang w:val="en-GB"/>
        </w:rPr>
        <w:t xml:space="preserve"> (see</w:t>
      </w:r>
      <w:r w:rsidR="00680565" w:rsidRPr="00952495">
        <w:rPr>
          <w:color w:val="1F497D"/>
          <w:szCs w:val="24"/>
          <w:lang w:val="en-GB"/>
        </w:rPr>
        <w:t xml:space="preserve">: </w:t>
      </w:r>
      <w:hyperlink r:id="rId8" w:history="1">
        <w:r w:rsidR="00DC5332" w:rsidRPr="00952495">
          <w:rPr>
            <w:rStyle w:val="Hyperlink"/>
            <w:szCs w:val="24"/>
            <w:lang w:val="en-GB"/>
          </w:rPr>
          <w:t>http://ec.europa.eu/echo/partners/humanitarian_aid/procurement_en.htm</w:t>
        </w:r>
      </w:hyperlink>
      <w:r w:rsidR="00E32D83">
        <w:rPr>
          <w:sz w:val="22"/>
          <w:szCs w:val="22"/>
          <w:lang w:val="en-GB"/>
        </w:rPr>
        <w:t>)</w:t>
      </w:r>
      <w:r w:rsidR="00704E40">
        <w:rPr>
          <w:sz w:val="22"/>
          <w:szCs w:val="22"/>
          <w:lang w:val="en-GB"/>
        </w:rPr>
        <w:t xml:space="preserve"> is used</w:t>
      </w:r>
      <w:r>
        <w:rPr>
          <w:sz w:val="22"/>
          <w:szCs w:val="22"/>
          <w:lang w:val="en-GB"/>
        </w:rPr>
        <w:t xml:space="preserve">, it applies the rules agreed </w:t>
      </w:r>
      <w:r w:rsidR="00057C45">
        <w:rPr>
          <w:sz w:val="22"/>
          <w:szCs w:val="22"/>
          <w:lang w:val="en-GB"/>
        </w:rPr>
        <w:t>upon at the time of its approval</w:t>
      </w:r>
      <w:r w:rsidR="003D3454">
        <w:rPr>
          <w:sz w:val="22"/>
          <w:szCs w:val="22"/>
          <w:lang w:val="en-GB"/>
        </w:rPr>
        <w:t>.</w:t>
      </w:r>
    </w:p>
    <w:p w:rsidR="00704E40" w:rsidRDefault="00704E40" w:rsidP="0013483E">
      <w:pPr>
        <w:rPr>
          <w:lang w:val="en-GB"/>
        </w:rPr>
      </w:pPr>
    </w:p>
    <w:p w:rsidR="00A13DEF" w:rsidRPr="00AF19A8" w:rsidRDefault="00A13DEF" w:rsidP="00E402F6">
      <w:pPr>
        <w:ind w:left="426"/>
        <w:jc w:val="center"/>
        <w:rPr>
          <w:sz w:val="22"/>
          <w:szCs w:val="22"/>
          <w:lang w:val="en-GB"/>
        </w:rPr>
      </w:pPr>
      <w:r>
        <w:rPr>
          <w:sz w:val="22"/>
          <w:szCs w:val="22"/>
          <w:lang w:val="en-GB"/>
        </w:rPr>
        <w:t>* * *</w:t>
      </w:r>
    </w:p>
    <w:sectPr w:rsidR="00A13DEF" w:rsidRPr="00AF19A8" w:rsidSect="009C5A9B">
      <w:headerReference w:type="default" r:id="rId9"/>
      <w:footerReference w:type="default" r:id="rId10"/>
      <w:footerReference w:type="first" r:id="rId11"/>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C4" w:rsidRDefault="007B38C4">
      <w:r>
        <w:separator/>
      </w:r>
    </w:p>
  </w:endnote>
  <w:endnote w:type="continuationSeparator" w:id="0">
    <w:p w:rsidR="007B38C4" w:rsidRDefault="007B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Pr="005950DD" w:rsidRDefault="00C05EE9" w:rsidP="001126A8">
    <w:pPr>
      <w:pStyle w:val="Footer"/>
      <w:tabs>
        <w:tab w:val="right" w:pos="9070"/>
      </w:tabs>
      <w:rPr>
        <w:rFonts w:ascii="Times New Roman" w:hAnsi="Times New Roman"/>
        <w:sz w:val="18"/>
        <w:szCs w:val="18"/>
        <w:lang w:val="en-GB"/>
      </w:rPr>
    </w:pPr>
    <w:r>
      <w:rPr>
        <w:rStyle w:val="PageNumber"/>
        <w:rFonts w:ascii="Times New Roman" w:hAnsi="Times New Roman"/>
        <w:b/>
        <w:sz w:val="18"/>
        <w:szCs w:val="18"/>
        <w:lang w:val="en-GB"/>
      </w:rPr>
      <w:t>2014</w:t>
    </w:r>
    <w:r w:rsidR="00060CDF" w:rsidRPr="00B45343">
      <w:rPr>
        <w:rStyle w:val="PageNumber"/>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A53D31">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A53D31">
      <w:rPr>
        <w:rFonts w:ascii="Times New Roman" w:hAnsi="Times New Roman"/>
        <w:noProof/>
        <w:sz w:val="18"/>
        <w:szCs w:val="18"/>
        <w:lang w:val="en-GB"/>
      </w:rPr>
      <w:t>7</w:t>
    </w:r>
    <w:r w:rsidR="00060CDF" w:rsidRPr="00B45343">
      <w:rPr>
        <w:rFonts w:ascii="Times New Roman" w:hAnsi="Times New Roman"/>
        <w:sz w:val="18"/>
        <w:szCs w:val="18"/>
      </w:rPr>
      <w:fldChar w:fldCharType="end"/>
    </w:r>
  </w:p>
  <w:p w:rsidR="00060CDF" w:rsidRPr="00B45343" w:rsidRDefault="00060CDF" w:rsidP="001126A8">
    <w:pPr>
      <w:pStyle w:val="Footer"/>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13483E">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Pr="00812240" w:rsidRDefault="00C05EE9" w:rsidP="005A7745">
    <w:pPr>
      <w:pStyle w:val="Footer"/>
      <w:tabs>
        <w:tab w:val="right" w:pos="9070"/>
      </w:tabs>
      <w:rPr>
        <w:rFonts w:ascii="Times New Roman" w:hAnsi="Times New Roman"/>
        <w:sz w:val="18"/>
        <w:szCs w:val="18"/>
        <w:lang w:val="en-GB"/>
      </w:rPr>
    </w:pPr>
    <w:r>
      <w:rPr>
        <w:rStyle w:val="PageNumber"/>
        <w:rFonts w:ascii="Times New Roman" w:hAnsi="Times New Roman"/>
        <w:b/>
        <w:sz w:val="18"/>
        <w:szCs w:val="18"/>
        <w:lang w:val="en-GB"/>
      </w:rPr>
      <w:t>2014</w:t>
    </w:r>
    <w:r w:rsidR="00060CDF" w:rsidRPr="00812240">
      <w:rPr>
        <w:rStyle w:val="PageNumber"/>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A53D31">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w:t>
    </w:r>
    <w:r w:rsidR="00060CDF">
      <w:rPr>
        <w:rFonts w:ascii="Times New Roman" w:hAnsi="Times New Roman"/>
        <w:sz w:val="18"/>
        <w:szCs w:val="18"/>
        <w:lang w:val="en-GB"/>
      </w:rPr>
      <w:t xml:space="preserve"> </w:t>
    </w:r>
    <w:r w:rsidR="00060CDF" w:rsidRPr="00812240">
      <w:rPr>
        <w:rFonts w:ascii="Times New Roman" w:hAnsi="Times New Roman"/>
        <w:sz w:val="18"/>
        <w:szCs w:val="18"/>
        <w:lang w:val="en-GB"/>
      </w:rPr>
      <w:t xml:space="preserv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A53D31">
      <w:rPr>
        <w:rFonts w:ascii="Times New Roman" w:hAnsi="Times New Roman"/>
        <w:noProof/>
        <w:sz w:val="18"/>
        <w:szCs w:val="18"/>
        <w:lang w:val="en-GB"/>
      </w:rPr>
      <w:t>7</w:t>
    </w:r>
    <w:r w:rsidR="00060CDF" w:rsidRPr="00B45343">
      <w:rPr>
        <w:rFonts w:ascii="Times New Roman" w:hAnsi="Times New Roman"/>
        <w:sz w:val="18"/>
        <w:szCs w:val="18"/>
      </w:rPr>
      <w:fldChar w:fldCharType="end"/>
    </w:r>
  </w:p>
  <w:p w:rsidR="00060CDF" w:rsidRPr="00812240" w:rsidRDefault="00060CDF" w:rsidP="00A53D31">
    <w:pPr>
      <w:pStyle w:val="Footer"/>
      <w:tabs>
        <w:tab w:val="right" w:pos="9070"/>
      </w:tabs>
      <w:rPr>
        <w:rStyle w:val="PageNumber"/>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A916EB">
      <w:rPr>
        <w:rFonts w:ascii="Times New Roman" w:hAnsi="Times New Roman"/>
        <w:noProof/>
        <w:sz w:val="18"/>
        <w:szCs w:val="18"/>
        <w:lang w:val="en-GB"/>
      </w:rPr>
      <w:t>e3h3_awardproc.doc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C4" w:rsidRDefault="007B38C4">
      <w:r>
        <w:separator/>
      </w:r>
    </w:p>
  </w:footnote>
  <w:footnote w:type="continuationSeparator" w:id="0">
    <w:p w:rsidR="007B38C4" w:rsidRDefault="007B38C4">
      <w:r>
        <w:continuationSeparator/>
      </w:r>
    </w:p>
  </w:footnote>
  <w:footnote w:id="1">
    <w:p w:rsidR="00637021" w:rsidRPr="0000698B" w:rsidRDefault="00637021" w:rsidP="00637021">
      <w:pPr>
        <w:pStyle w:val="FootnoteText"/>
        <w:rPr>
          <w:lang w:val="en-GB"/>
        </w:rPr>
      </w:pPr>
      <w:r>
        <w:rPr>
          <w:rStyle w:val="FootnoteReference"/>
        </w:rPr>
        <w:footnoteRef/>
      </w:r>
      <w:r w:rsidR="0013483E">
        <w:rPr>
          <w:lang w:val="en-GB"/>
        </w:rPr>
        <w:tab/>
      </w:r>
      <w:r w:rsidRPr="00934AC8">
        <w:rPr>
          <w:lang w:val="en-GB"/>
        </w:rPr>
        <w:t>For the purpose of this annex, the term "origin" is defined in chapter 2 of Regulation (EC) No 450/2008 of the European Parliament and of the Council of 23 April 2008 laying down the EU Customs Code (Modernised Customs Code).</w:t>
      </w:r>
    </w:p>
  </w:footnote>
  <w:footnote w:id="2">
    <w:p w:rsidR="004F10B8" w:rsidRPr="00757EE3" w:rsidRDefault="004F10B8" w:rsidP="00E44214">
      <w:pPr>
        <w:pStyle w:val="FootnoteText"/>
        <w:rPr>
          <w:lang w:val="en-GB"/>
        </w:rPr>
      </w:pPr>
      <w:r>
        <w:rPr>
          <w:rStyle w:val="FootnoteReference"/>
        </w:rPr>
        <w:footnoteRef/>
      </w:r>
      <w:r w:rsidR="0013483E">
        <w:rPr>
          <w:lang w:val="en-GB"/>
        </w:rPr>
        <w:tab/>
      </w:r>
      <w:r w:rsidR="00003835">
        <w:rPr>
          <w:lang w:val="en-GB"/>
        </w:rPr>
        <w:t xml:space="preserve">Under the CIR (i.e. not IPA I) and the EDF (once the 2014 amendment to Annex IV to the Cotounou Agreement has come into force) </w:t>
      </w:r>
      <w:r>
        <w:rPr>
          <w:lang w:val="en-GB"/>
        </w:rPr>
        <w:t xml:space="preserve">supplies may </w:t>
      </w:r>
      <w:r w:rsidRPr="00757EE3">
        <w:rPr>
          <w:lang w:val="en-GB"/>
        </w:rPr>
        <w:t xml:space="preserve">originate from any country </w:t>
      </w:r>
      <w:r>
        <w:rPr>
          <w:lang w:val="en-GB"/>
        </w:rPr>
        <w:t xml:space="preserve">if </w:t>
      </w:r>
      <w:r w:rsidRPr="00757EE3">
        <w:rPr>
          <w:lang w:val="en-GB"/>
        </w:rPr>
        <w:t xml:space="preserve">the </w:t>
      </w:r>
      <w:r>
        <w:rPr>
          <w:lang w:val="en-GB"/>
        </w:rPr>
        <w:t xml:space="preserve">amount of the </w:t>
      </w:r>
      <w:r w:rsidRPr="00757EE3">
        <w:rPr>
          <w:lang w:val="en-GB"/>
        </w:rPr>
        <w:t xml:space="preserve">supplies to be </w:t>
      </w:r>
      <w:r w:rsidR="00E44214">
        <w:rPr>
          <w:lang w:val="en-GB"/>
        </w:rPr>
        <w:t>procured</w:t>
      </w:r>
      <w:r w:rsidR="0085437A">
        <w:rPr>
          <w:lang w:val="en-GB"/>
        </w:rPr>
        <w:t xml:space="preserve"> </w:t>
      </w:r>
      <w:r w:rsidRPr="00757EE3">
        <w:rPr>
          <w:lang w:val="en-GB"/>
        </w:rPr>
        <w:t xml:space="preserve">is </w:t>
      </w:r>
      <w:bookmarkStart w:id="8" w:name="_GoBack"/>
      <w:bookmarkEnd w:id="8"/>
      <w:r w:rsidRPr="00757EE3">
        <w:rPr>
          <w:lang w:val="en-GB"/>
        </w:rPr>
        <w:t xml:space="preserve">below </w:t>
      </w:r>
      <w:r>
        <w:rPr>
          <w:lang w:val="en-GB"/>
        </w:rPr>
        <w:t>100.000 €</w:t>
      </w:r>
      <w:r w:rsidR="002B7C11">
        <w:rPr>
          <w:lang w:val="en-GB"/>
        </w:rPr>
        <w:t xml:space="preserve"> per purchase</w:t>
      </w:r>
      <w:r w:rsidRPr="00757EE3">
        <w:rPr>
          <w:lang w:val="en-GB"/>
        </w:rPr>
        <w:t>.</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DF" w:rsidRDefault="00060C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88"/>
    <w:multiLevelType w:val="multilevel"/>
    <w:tmpl w:val="FEF46D30"/>
    <w:lvl w:ilvl="0">
      <w:start w:val="1"/>
      <w:numFmt w:val="decimal"/>
      <w:pStyle w:val="ListBullet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89"/>
    <w:multiLevelType w:val="multilevel"/>
    <w:tmpl w:val="5664BD6E"/>
    <w:lvl w:ilvl="0">
      <w:start w:val="1"/>
      <w:numFmt w:val="bullet"/>
      <w:pStyle w:val="Heading1"/>
      <w:lvlText w:val=""/>
      <w:lvlJc w:val="left"/>
      <w:pPr>
        <w:tabs>
          <w:tab w:val="num" w:pos="360"/>
        </w:tabs>
        <w:ind w:left="360" w:hanging="360"/>
      </w:pPr>
      <w:rPr>
        <w:rFonts w:ascii="Symbol" w:hAnsi="Symbol" w:hint="default"/>
      </w:rPr>
    </w:lvl>
    <w:lvl w:ilvl="1">
      <w:numFmt w:val="decimal"/>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F00622"/>
    <w:multiLevelType w:val="multilevel"/>
    <w:tmpl w:val="4838DC9E"/>
    <w:lvl w:ilvl="0">
      <w:start w:val="1"/>
      <w:numFmt w:val="decimal"/>
      <w:pStyle w:val="ListNumber5"/>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8">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13"/>
  </w:num>
  <w:num w:numId="20">
    <w:abstractNumId w:val="7"/>
  </w:num>
  <w:num w:numId="21">
    <w:abstractNumId w:val="6"/>
  </w:num>
  <w:num w:numId="22">
    <w:abstractNumId w:val="4"/>
  </w:num>
  <w:num w:numId="23">
    <w:abstractNumId w:val="3"/>
  </w:num>
  <w:num w:numId="24">
    <w:abstractNumId w:val="14"/>
  </w:num>
  <w:num w:numId="25">
    <w:abstractNumId w:val="16"/>
  </w:num>
  <w:num w:numId="26">
    <w:abstractNumId w:val="15"/>
  </w:num>
  <w:num w:numId="27">
    <w:abstractNumId w:val="17"/>
  </w:num>
  <w:num w:numId="28">
    <w:abstractNumId w:val="5"/>
  </w:num>
  <w:num w:numId="29">
    <w:abstractNumId w:val="8"/>
  </w:num>
  <w:num w:numId="30">
    <w:abstractNumId w:val="10"/>
  </w:num>
  <w:num w:numId="31">
    <w:abstractNumId w:val="9"/>
  </w:num>
  <w:num w:numId="32">
    <w:abstractNumId w:val="2"/>
  </w:num>
  <w:num w:numId="33">
    <w:abstractNumId w:val="11"/>
  </w:num>
  <w:num w:numId="34">
    <w:abstractNumId w:val="8"/>
  </w:num>
  <w:num w:numId="35">
    <w:abstractNumId w:val="10"/>
  </w:num>
  <w:num w:numId="36">
    <w:abstractNumId w:val="9"/>
  </w:num>
  <w:num w:numId="37">
    <w:abstractNumId w:val="2"/>
  </w:num>
  <w:num w:numId="38">
    <w:abstractNumId w:val="11"/>
  </w:num>
  <w:num w:numId="39">
    <w:abstractNumId w:val="8"/>
  </w:num>
  <w:num w:numId="40">
    <w:abstractNumId w:val="10"/>
  </w:num>
  <w:num w:numId="41">
    <w:abstractNumId w:val="9"/>
  </w:num>
  <w:num w:numId="42">
    <w:abstractNumId w:val="2"/>
  </w:num>
  <w:num w:numId="43">
    <w:abstractNumId w:val="11"/>
  </w:num>
  <w:num w:numId="44">
    <w:abstractNumId w:val="8"/>
  </w:num>
  <w:num w:numId="45">
    <w:abstractNumId w:val="10"/>
  </w:num>
  <w:num w:numId="46">
    <w:abstractNumId w:val="9"/>
  </w:num>
  <w:num w:numId="47">
    <w:abstractNumId w:val="2"/>
  </w:num>
  <w:num w:numId="48">
    <w:abstractNumId w:val="11"/>
  </w:num>
  <w:num w:numId="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urolookDoctype" w:val="NOT"/>
    <w:docVar w:name="EurolookLanguage" w:val="1036"/>
    <w:docVar w:name="EurolookVersion" w:val="3.9"/>
    <w:docVar w:name="LW_DocType" w:val="NOT"/>
  </w:docVars>
  <w:rsids>
    <w:rsidRoot w:val="00580706"/>
    <w:rsid w:val="00003835"/>
    <w:rsid w:val="000050E7"/>
    <w:rsid w:val="00022C50"/>
    <w:rsid w:val="00034BBC"/>
    <w:rsid w:val="0003539F"/>
    <w:rsid w:val="00044542"/>
    <w:rsid w:val="00057C45"/>
    <w:rsid w:val="00060CDF"/>
    <w:rsid w:val="00066868"/>
    <w:rsid w:val="00071278"/>
    <w:rsid w:val="00073245"/>
    <w:rsid w:val="000733A0"/>
    <w:rsid w:val="00074F23"/>
    <w:rsid w:val="000758E5"/>
    <w:rsid w:val="000806E2"/>
    <w:rsid w:val="000852A1"/>
    <w:rsid w:val="000923EF"/>
    <w:rsid w:val="0009290E"/>
    <w:rsid w:val="00095E27"/>
    <w:rsid w:val="000A1BDE"/>
    <w:rsid w:val="000D574E"/>
    <w:rsid w:val="000F0B73"/>
    <w:rsid w:val="000F492D"/>
    <w:rsid w:val="001126A8"/>
    <w:rsid w:val="00112B4E"/>
    <w:rsid w:val="00126EDD"/>
    <w:rsid w:val="0012727A"/>
    <w:rsid w:val="0013483E"/>
    <w:rsid w:val="00151C27"/>
    <w:rsid w:val="001524F3"/>
    <w:rsid w:val="00156A00"/>
    <w:rsid w:val="001726E7"/>
    <w:rsid w:val="00177104"/>
    <w:rsid w:val="00177CF8"/>
    <w:rsid w:val="00191C7E"/>
    <w:rsid w:val="001952F9"/>
    <w:rsid w:val="001A18E0"/>
    <w:rsid w:val="001A1956"/>
    <w:rsid w:val="001B12A9"/>
    <w:rsid w:val="001B7DAE"/>
    <w:rsid w:val="001D532D"/>
    <w:rsid w:val="001D55E0"/>
    <w:rsid w:val="001D62AE"/>
    <w:rsid w:val="001E18F5"/>
    <w:rsid w:val="001F2302"/>
    <w:rsid w:val="00227397"/>
    <w:rsid w:val="0024293C"/>
    <w:rsid w:val="0024553A"/>
    <w:rsid w:val="00253F68"/>
    <w:rsid w:val="00255F16"/>
    <w:rsid w:val="00261223"/>
    <w:rsid w:val="002673AD"/>
    <w:rsid w:val="00275217"/>
    <w:rsid w:val="002A4028"/>
    <w:rsid w:val="002A6D0A"/>
    <w:rsid w:val="002B3EE4"/>
    <w:rsid w:val="002B7C11"/>
    <w:rsid w:val="002C19E6"/>
    <w:rsid w:val="002C7B83"/>
    <w:rsid w:val="002D10CE"/>
    <w:rsid w:val="002D21A3"/>
    <w:rsid w:val="002E755B"/>
    <w:rsid w:val="002F27D2"/>
    <w:rsid w:val="003072D6"/>
    <w:rsid w:val="00316D06"/>
    <w:rsid w:val="00317835"/>
    <w:rsid w:val="003437DB"/>
    <w:rsid w:val="003526FA"/>
    <w:rsid w:val="00357B6B"/>
    <w:rsid w:val="003611AF"/>
    <w:rsid w:val="003679DD"/>
    <w:rsid w:val="00370300"/>
    <w:rsid w:val="003827B7"/>
    <w:rsid w:val="0038441E"/>
    <w:rsid w:val="0039700B"/>
    <w:rsid w:val="003B0F70"/>
    <w:rsid w:val="003B2973"/>
    <w:rsid w:val="003C242B"/>
    <w:rsid w:val="003C48E6"/>
    <w:rsid w:val="003D11EE"/>
    <w:rsid w:val="003D3454"/>
    <w:rsid w:val="003D6F84"/>
    <w:rsid w:val="003E1CB9"/>
    <w:rsid w:val="003E2247"/>
    <w:rsid w:val="003E448A"/>
    <w:rsid w:val="00436A9C"/>
    <w:rsid w:val="0044454E"/>
    <w:rsid w:val="00447253"/>
    <w:rsid w:val="004522E7"/>
    <w:rsid w:val="004561D2"/>
    <w:rsid w:val="0046544D"/>
    <w:rsid w:val="00470645"/>
    <w:rsid w:val="004708DC"/>
    <w:rsid w:val="004742EC"/>
    <w:rsid w:val="00484D5F"/>
    <w:rsid w:val="00493FF8"/>
    <w:rsid w:val="004A2B46"/>
    <w:rsid w:val="004B236F"/>
    <w:rsid w:val="004B4C01"/>
    <w:rsid w:val="004B65EE"/>
    <w:rsid w:val="004C45AF"/>
    <w:rsid w:val="004C7E3F"/>
    <w:rsid w:val="004D2855"/>
    <w:rsid w:val="004E47C8"/>
    <w:rsid w:val="004E4F7B"/>
    <w:rsid w:val="004F10B8"/>
    <w:rsid w:val="0050090A"/>
    <w:rsid w:val="00505FC2"/>
    <w:rsid w:val="005132CB"/>
    <w:rsid w:val="005170EE"/>
    <w:rsid w:val="00517B0A"/>
    <w:rsid w:val="00523DCA"/>
    <w:rsid w:val="00553053"/>
    <w:rsid w:val="00553B2F"/>
    <w:rsid w:val="00556097"/>
    <w:rsid w:val="00564FCD"/>
    <w:rsid w:val="005750A3"/>
    <w:rsid w:val="00580706"/>
    <w:rsid w:val="00582AC5"/>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7106"/>
    <w:rsid w:val="00657A26"/>
    <w:rsid w:val="00670F3D"/>
    <w:rsid w:val="00680565"/>
    <w:rsid w:val="00690DA0"/>
    <w:rsid w:val="00694918"/>
    <w:rsid w:val="006B0204"/>
    <w:rsid w:val="006B2F9A"/>
    <w:rsid w:val="006B3FAC"/>
    <w:rsid w:val="006E1A62"/>
    <w:rsid w:val="006E3482"/>
    <w:rsid w:val="006E5832"/>
    <w:rsid w:val="006F3678"/>
    <w:rsid w:val="006F6FB7"/>
    <w:rsid w:val="00704E40"/>
    <w:rsid w:val="00706F7A"/>
    <w:rsid w:val="007149C9"/>
    <w:rsid w:val="007156E8"/>
    <w:rsid w:val="0072068B"/>
    <w:rsid w:val="00721EA2"/>
    <w:rsid w:val="007231B3"/>
    <w:rsid w:val="0072458C"/>
    <w:rsid w:val="0072671E"/>
    <w:rsid w:val="00743F73"/>
    <w:rsid w:val="00744420"/>
    <w:rsid w:val="00752C75"/>
    <w:rsid w:val="00757EE3"/>
    <w:rsid w:val="007865A8"/>
    <w:rsid w:val="007950F9"/>
    <w:rsid w:val="00797604"/>
    <w:rsid w:val="007A72F1"/>
    <w:rsid w:val="007B058F"/>
    <w:rsid w:val="007B0F02"/>
    <w:rsid w:val="007B38C4"/>
    <w:rsid w:val="007B7D3E"/>
    <w:rsid w:val="007D018D"/>
    <w:rsid w:val="007D2532"/>
    <w:rsid w:val="007D28C3"/>
    <w:rsid w:val="007E5F3F"/>
    <w:rsid w:val="007F7B52"/>
    <w:rsid w:val="00812240"/>
    <w:rsid w:val="00812804"/>
    <w:rsid w:val="00812C30"/>
    <w:rsid w:val="00813F09"/>
    <w:rsid w:val="008260D7"/>
    <w:rsid w:val="0083092A"/>
    <w:rsid w:val="00830C69"/>
    <w:rsid w:val="00833DC5"/>
    <w:rsid w:val="00846060"/>
    <w:rsid w:val="00852BEB"/>
    <w:rsid w:val="0085437A"/>
    <w:rsid w:val="008550DF"/>
    <w:rsid w:val="00871E18"/>
    <w:rsid w:val="00873CCB"/>
    <w:rsid w:val="00884921"/>
    <w:rsid w:val="008A5AC0"/>
    <w:rsid w:val="008B26D0"/>
    <w:rsid w:val="008B4551"/>
    <w:rsid w:val="008C7CEF"/>
    <w:rsid w:val="008D269E"/>
    <w:rsid w:val="008D3AC3"/>
    <w:rsid w:val="008E48DA"/>
    <w:rsid w:val="008F2484"/>
    <w:rsid w:val="008F64D4"/>
    <w:rsid w:val="009040C1"/>
    <w:rsid w:val="009056C0"/>
    <w:rsid w:val="0090647C"/>
    <w:rsid w:val="0091102E"/>
    <w:rsid w:val="0091187D"/>
    <w:rsid w:val="0092093B"/>
    <w:rsid w:val="009315F9"/>
    <w:rsid w:val="00934AC8"/>
    <w:rsid w:val="00942314"/>
    <w:rsid w:val="00952495"/>
    <w:rsid w:val="00956066"/>
    <w:rsid w:val="00962401"/>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3DA1"/>
    <w:rsid w:val="00A04303"/>
    <w:rsid w:val="00A108BB"/>
    <w:rsid w:val="00A13DEF"/>
    <w:rsid w:val="00A218DD"/>
    <w:rsid w:val="00A33FEA"/>
    <w:rsid w:val="00A347CB"/>
    <w:rsid w:val="00A43FDE"/>
    <w:rsid w:val="00A44D95"/>
    <w:rsid w:val="00A510B8"/>
    <w:rsid w:val="00A53D31"/>
    <w:rsid w:val="00A6292D"/>
    <w:rsid w:val="00A666D6"/>
    <w:rsid w:val="00A7337A"/>
    <w:rsid w:val="00A767F1"/>
    <w:rsid w:val="00A84AC9"/>
    <w:rsid w:val="00A90513"/>
    <w:rsid w:val="00A916EB"/>
    <w:rsid w:val="00A951B9"/>
    <w:rsid w:val="00A968AE"/>
    <w:rsid w:val="00AA34FB"/>
    <w:rsid w:val="00AA6FA7"/>
    <w:rsid w:val="00AA7631"/>
    <w:rsid w:val="00AA79A6"/>
    <w:rsid w:val="00AB60CA"/>
    <w:rsid w:val="00AC4C71"/>
    <w:rsid w:val="00AF19A8"/>
    <w:rsid w:val="00B053A9"/>
    <w:rsid w:val="00B25C51"/>
    <w:rsid w:val="00B3228F"/>
    <w:rsid w:val="00B33A61"/>
    <w:rsid w:val="00B43DA5"/>
    <w:rsid w:val="00B45343"/>
    <w:rsid w:val="00B56131"/>
    <w:rsid w:val="00B57792"/>
    <w:rsid w:val="00B621F7"/>
    <w:rsid w:val="00B70A60"/>
    <w:rsid w:val="00B7375E"/>
    <w:rsid w:val="00B86BAD"/>
    <w:rsid w:val="00B91869"/>
    <w:rsid w:val="00B9220A"/>
    <w:rsid w:val="00BA2393"/>
    <w:rsid w:val="00BB2F3F"/>
    <w:rsid w:val="00BB6798"/>
    <w:rsid w:val="00BD3DEA"/>
    <w:rsid w:val="00BD5C8D"/>
    <w:rsid w:val="00BD7937"/>
    <w:rsid w:val="00BE0086"/>
    <w:rsid w:val="00BF7866"/>
    <w:rsid w:val="00C03FC8"/>
    <w:rsid w:val="00C05EE9"/>
    <w:rsid w:val="00C07FB1"/>
    <w:rsid w:val="00C168F5"/>
    <w:rsid w:val="00C212FF"/>
    <w:rsid w:val="00C23870"/>
    <w:rsid w:val="00C245E6"/>
    <w:rsid w:val="00C2559E"/>
    <w:rsid w:val="00C262EC"/>
    <w:rsid w:val="00C31DD0"/>
    <w:rsid w:val="00C42FF9"/>
    <w:rsid w:val="00C54FE0"/>
    <w:rsid w:val="00C77272"/>
    <w:rsid w:val="00C80066"/>
    <w:rsid w:val="00C86060"/>
    <w:rsid w:val="00C8750C"/>
    <w:rsid w:val="00CA4913"/>
    <w:rsid w:val="00CC7225"/>
    <w:rsid w:val="00CD15B2"/>
    <w:rsid w:val="00CD3A62"/>
    <w:rsid w:val="00CD45A2"/>
    <w:rsid w:val="00CD59AF"/>
    <w:rsid w:val="00CF0471"/>
    <w:rsid w:val="00CF35F3"/>
    <w:rsid w:val="00CF4401"/>
    <w:rsid w:val="00D058BB"/>
    <w:rsid w:val="00D15DCE"/>
    <w:rsid w:val="00D163FA"/>
    <w:rsid w:val="00D16AC1"/>
    <w:rsid w:val="00D17C6F"/>
    <w:rsid w:val="00D20C5D"/>
    <w:rsid w:val="00D21981"/>
    <w:rsid w:val="00D21C41"/>
    <w:rsid w:val="00D24797"/>
    <w:rsid w:val="00D457D7"/>
    <w:rsid w:val="00D50ECD"/>
    <w:rsid w:val="00D60822"/>
    <w:rsid w:val="00D6332F"/>
    <w:rsid w:val="00D75442"/>
    <w:rsid w:val="00D97FC2"/>
    <w:rsid w:val="00DA180B"/>
    <w:rsid w:val="00DA4073"/>
    <w:rsid w:val="00DB07F9"/>
    <w:rsid w:val="00DB1AAC"/>
    <w:rsid w:val="00DB5952"/>
    <w:rsid w:val="00DB6DD4"/>
    <w:rsid w:val="00DC5332"/>
    <w:rsid w:val="00DD58C2"/>
    <w:rsid w:val="00DE7EDC"/>
    <w:rsid w:val="00DE7F36"/>
    <w:rsid w:val="00E01C71"/>
    <w:rsid w:val="00E01CB7"/>
    <w:rsid w:val="00E03332"/>
    <w:rsid w:val="00E163CB"/>
    <w:rsid w:val="00E2011A"/>
    <w:rsid w:val="00E24B6D"/>
    <w:rsid w:val="00E30037"/>
    <w:rsid w:val="00E32D83"/>
    <w:rsid w:val="00E364B7"/>
    <w:rsid w:val="00E37353"/>
    <w:rsid w:val="00E402F6"/>
    <w:rsid w:val="00E44214"/>
    <w:rsid w:val="00E53E8A"/>
    <w:rsid w:val="00E54E0B"/>
    <w:rsid w:val="00E61B8B"/>
    <w:rsid w:val="00E664C6"/>
    <w:rsid w:val="00E759CB"/>
    <w:rsid w:val="00E76E4F"/>
    <w:rsid w:val="00E823B2"/>
    <w:rsid w:val="00E87838"/>
    <w:rsid w:val="00E96FD8"/>
    <w:rsid w:val="00EC6A82"/>
    <w:rsid w:val="00ED1642"/>
    <w:rsid w:val="00ED43B7"/>
    <w:rsid w:val="00ED6A88"/>
    <w:rsid w:val="00ED7A29"/>
    <w:rsid w:val="00EE19DB"/>
    <w:rsid w:val="00EE79DA"/>
    <w:rsid w:val="00EF0447"/>
    <w:rsid w:val="00EF56C9"/>
    <w:rsid w:val="00F1145B"/>
    <w:rsid w:val="00F21399"/>
    <w:rsid w:val="00F24968"/>
    <w:rsid w:val="00F35BF2"/>
    <w:rsid w:val="00F40BFC"/>
    <w:rsid w:val="00F4331D"/>
    <w:rsid w:val="00F44470"/>
    <w:rsid w:val="00F523B4"/>
    <w:rsid w:val="00F53DE5"/>
    <w:rsid w:val="00F61953"/>
    <w:rsid w:val="00F62D24"/>
    <w:rsid w:val="00F66B0A"/>
    <w:rsid w:val="00F76F8F"/>
    <w:rsid w:val="00F81537"/>
    <w:rsid w:val="00F8546F"/>
    <w:rsid w:val="00FB70EC"/>
    <w:rsid w:val="00FC3FFB"/>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F58DE-B122-4CC3-8CDA-98D2D67F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lang w:val="fr-FR" w:eastAsia="en-US"/>
    </w:rPr>
  </w:style>
  <w:style w:type="paragraph" w:styleId="Heading1">
    <w:name w:val="heading 1"/>
    <w:basedOn w:val="Normal"/>
    <w:next w:val="Text1"/>
    <w:qFormat/>
    <w:rsid w:val="00D24797"/>
    <w:pPr>
      <w:keepNext/>
      <w:numPr>
        <w:numId w:val="1"/>
      </w:numPr>
      <w:spacing w:before="240"/>
      <w:ind w:left="357" w:hanging="357"/>
      <w:outlineLvl w:val="0"/>
    </w:pPr>
    <w:rPr>
      <w:b/>
      <w:smallCaps/>
      <w:kern w:val="28"/>
    </w:rPr>
  </w:style>
  <w:style w:type="paragraph" w:styleId="Heading2">
    <w:name w:val="heading 2"/>
    <w:basedOn w:val="Normal"/>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Heading3">
    <w:name w:val="heading 3"/>
    <w:basedOn w:val="Normal"/>
    <w:next w:val="Text3"/>
    <w:qFormat/>
    <w:pPr>
      <w:keepNext/>
      <w:numPr>
        <w:ilvl w:val="2"/>
        <w:numId w:val="1"/>
      </w:numPr>
      <w:ind w:left="1916" w:hanging="839"/>
      <w:outlineLvl w:val="2"/>
    </w:pPr>
    <w:rPr>
      <w:i/>
    </w:rPr>
  </w:style>
  <w:style w:type="paragraph" w:styleId="Heading4">
    <w:name w:val="heading 4"/>
    <w:basedOn w:val="Normal"/>
    <w:next w:val="Text4"/>
    <w:qFormat/>
    <w:pPr>
      <w:keepNext/>
      <w:numPr>
        <w:ilvl w:val="3"/>
        <w:numId w:val="1"/>
      </w:numPr>
      <w:ind w:left="2880" w:hanging="964"/>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CommentText">
    <w:name w:val="annotation text"/>
    <w:basedOn w:val="Normal"/>
    <w:link w:val="CommentTextChar"/>
    <w:rPr>
      <w:sz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13483E"/>
    <w:pPr>
      <w:numPr>
        <w:numId w:val="19"/>
      </w:numPr>
    </w:pPr>
    <w:rPr>
      <w:snapToGrid/>
    </w:rPr>
  </w:style>
  <w:style w:type="paragraph" w:styleId="ListBullet2">
    <w:name w:val="List Bullet 2"/>
    <w:basedOn w:val="Text2"/>
    <w:rsid w:val="0013483E"/>
    <w:pPr>
      <w:numPr>
        <w:numId w:val="21"/>
      </w:numPr>
      <w:tabs>
        <w:tab w:val="clear" w:pos="2161"/>
      </w:tabs>
    </w:pPr>
    <w:rPr>
      <w:snapToGrid/>
    </w:rPr>
  </w:style>
  <w:style w:type="paragraph" w:styleId="ListBullet3">
    <w:name w:val="List Bullet 3"/>
    <w:basedOn w:val="Text3"/>
    <w:rsid w:val="0013483E"/>
    <w:pPr>
      <w:numPr>
        <w:numId w:val="22"/>
      </w:numPr>
      <w:tabs>
        <w:tab w:val="clear" w:pos="2302"/>
      </w:tabs>
    </w:pPr>
    <w:rPr>
      <w:snapToGrid/>
    </w:rPr>
  </w:style>
  <w:style w:type="paragraph" w:styleId="ListBullet4">
    <w:name w:val="List Bullet 4"/>
    <w:basedOn w:val="Text4"/>
    <w:rsid w:val="0013483E"/>
    <w:pPr>
      <w:numPr>
        <w:numId w:val="23"/>
      </w:numPr>
    </w:pPr>
    <w:rPr>
      <w:snapToGrid/>
    </w:rPr>
  </w:style>
  <w:style w:type="paragraph" w:styleId="ListBullet5">
    <w:name w:val="List Bullet 5"/>
    <w:basedOn w:val="Normal"/>
    <w:autoRedefine/>
    <w:pPr>
      <w:numPr>
        <w:numId w:val="2"/>
      </w:numPr>
      <w:tabs>
        <w:tab w:val="clear" w:pos="360"/>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13483E"/>
    <w:pPr>
      <w:numPr>
        <w:numId w:val="44"/>
      </w:numPr>
    </w:pPr>
    <w:rPr>
      <w:snapToGrid/>
    </w:rPr>
  </w:style>
  <w:style w:type="paragraph" w:styleId="ListNumber2">
    <w:name w:val="List Number 2"/>
    <w:basedOn w:val="Text2"/>
    <w:rsid w:val="0013483E"/>
    <w:pPr>
      <w:numPr>
        <w:numId w:val="46"/>
      </w:numPr>
      <w:tabs>
        <w:tab w:val="clear" w:pos="2161"/>
      </w:tabs>
    </w:pPr>
    <w:rPr>
      <w:snapToGrid/>
    </w:rPr>
  </w:style>
  <w:style w:type="paragraph" w:styleId="ListNumber3">
    <w:name w:val="List Number 3"/>
    <w:basedOn w:val="Text3"/>
    <w:rsid w:val="0013483E"/>
    <w:pPr>
      <w:numPr>
        <w:numId w:val="47"/>
      </w:numPr>
      <w:tabs>
        <w:tab w:val="clear" w:pos="2302"/>
      </w:tabs>
    </w:pPr>
    <w:rPr>
      <w:snapToGrid/>
    </w:rPr>
  </w:style>
  <w:style w:type="paragraph" w:styleId="ListNumber4">
    <w:name w:val="List Number 4"/>
    <w:basedOn w:val="Text4"/>
    <w:rsid w:val="0013483E"/>
    <w:pPr>
      <w:numPr>
        <w:numId w:val="48"/>
      </w:numPr>
    </w:pPr>
    <w:rPr>
      <w:snapToGrid/>
    </w:rPr>
  </w:style>
  <w:style w:type="paragraph" w:styleId="ListNumber5">
    <w:name w:val="List Number 5"/>
    <w:basedOn w:val="Normal"/>
    <w:pPr>
      <w:numPr>
        <w:numId w:val="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ind w:left="1917" w:hanging="840"/>
      <w:outlineLvl w:val="9"/>
    </w:pPr>
    <w:rPr>
      <w:i w:val="0"/>
    </w:rPr>
  </w:style>
  <w:style w:type="paragraph" w:customStyle="1" w:styleId="NumPar4">
    <w:name w:val="NumPar 4"/>
    <w:basedOn w:val="Heading4"/>
    <w:next w:val="Text4"/>
    <w:pPr>
      <w:keepNext w:val="0"/>
      <w:outlineLvl w:val="9"/>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A04303"/>
    <w:pPr>
      <w:tabs>
        <w:tab w:val="right" w:leader="dot" w:pos="8640"/>
      </w:tabs>
      <w:spacing w:before="120" w:after="120"/>
      <w:ind w:left="482" w:right="720" w:hanging="482"/>
    </w:pPr>
    <w:rPr>
      <w:caps/>
      <w:snapToGrid/>
      <w:lang w:val="en-GB"/>
    </w:rPr>
  </w:style>
  <w:style w:type="paragraph" w:styleId="TOC2">
    <w:name w:val="toc 2"/>
    <w:basedOn w:val="Normal"/>
    <w:next w:val="Normal"/>
    <w:semiHidden/>
    <w:rsid w:val="00A04303"/>
    <w:pPr>
      <w:tabs>
        <w:tab w:val="right" w:leader="dot" w:pos="8640"/>
      </w:tabs>
      <w:spacing w:before="60" w:after="60"/>
      <w:ind w:left="1077" w:right="720" w:hanging="595"/>
    </w:pPr>
    <w:rPr>
      <w:snapToGrid/>
      <w:lang w:val="en-GB"/>
    </w:rPr>
  </w:style>
  <w:style w:type="paragraph" w:styleId="TOC3">
    <w:name w:val="toc 3"/>
    <w:basedOn w:val="Normal"/>
    <w:next w:val="Normal"/>
    <w:semiHidden/>
    <w:rsid w:val="00A04303"/>
    <w:pPr>
      <w:tabs>
        <w:tab w:val="right" w:leader="dot" w:pos="8640"/>
      </w:tabs>
      <w:spacing w:before="60" w:after="60"/>
      <w:ind w:left="1916" w:right="720" w:hanging="839"/>
    </w:pPr>
    <w:rPr>
      <w:snapToGrid/>
      <w:lang w:val="en-GB"/>
    </w:rPr>
  </w:style>
  <w:style w:type="paragraph" w:styleId="TOC4">
    <w:name w:val="toc 4"/>
    <w:basedOn w:val="Normal"/>
    <w:next w:val="Normal"/>
    <w:semiHidden/>
    <w:rsid w:val="00A04303"/>
    <w:pPr>
      <w:tabs>
        <w:tab w:val="right" w:leader="dot" w:pos="8641"/>
      </w:tabs>
      <w:spacing w:before="60" w:after="60"/>
      <w:ind w:left="2880" w:right="720" w:hanging="964"/>
    </w:pPr>
    <w:rPr>
      <w:snapToGrid/>
      <w:lang w:val="en-GB"/>
    </w:rPr>
  </w:style>
  <w:style w:type="paragraph" w:styleId="TOC5">
    <w:name w:val="toc 5"/>
    <w:basedOn w:val="Normal"/>
    <w:next w:val="Normal"/>
    <w:semiHidden/>
    <w:rsid w:val="0013483E"/>
    <w:pPr>
      <w:tabs>
        <w:tab w:val="right" w:leader="dot" w:pos="8641"/>
      </w:tabs>
      <w:spacing w:before="240" w:after="120"/>
      <w:ind w:right="720"/>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rPr>
  </w:style>
  <w:style w:type="paragraph" w:customStyle="1" w:styleId="ZDGName">
    <w:name w:val="Z_DGName"/>
    <w:basedOn w:val="Normal"/>
    <w:pPr>
      <w:widowControl w:val="0"/>
      <w:spacing w:after="0"/>
      <w:ind w:right="85"/>
    </w:pPr>
    <w:rPr>
      <w:rFonts w:ascii="Arial" w:hAnsi="Arial"/>
      <w:sz w:val="16"/>
    </w:rPr>
  </w:style>
  <w:style w:type="character" w:styleId="PageNumber">
    <w:name w:val="page number"/>
    <w:basedOn w:val="DefaultParagraphFont"/>
  </w:style>
  <w:style w:type="paragraph" w:customStyle="1" w:styleId="Contact">
    <w:name w:val="Contact"/>
    <w:basedOn w:val="Normal"/>
    <w:next w:val="Enclosures"/>
    <w:rsid w:val="0013483E"/>
    <w:pPr>
      <w:spacing w:before="480" w:after="0"/>
      <w:ind w:left="567" w:hanging="567"/>
      <w:jc w:val="left"/>
    </w:pPr>
    <w:rPr>
      <w:snapToGrid/>
    </w:rPr>
  </w:style>
  <w:style w:type="paragraph" w:customStyle="1" w:styleId="ListBullet1">
    <w:name w:val="List Bullet 1"/>
    <w:basedOn w:val="Text1"/>
    <w:rsid w:val="0013483E"/>
    <w:pPr>
      <w:numPr>
        <w:numId w:val="20"/>
      </w:numPr>
    </w:pPr>
    <w:rPr>
      <w:snapToGrid/>
    </w:rPr>
  </w:style>
  <w:style w:type="paragraph" w:customStyle="1" w:styleId="ListDash">
    <w:name w:val="List Dash"/>
    <w:basedOn w:val="Normal"/>
    <w:rsid w:val="0013483E"/>
    <w:pPr>
      <w:numPr>
        <w:numId w:val="24"/>
      </w:numPr>
    </w:pPr>
    <w:rPr>
      <w:snapToGrid/>
    </w:rPr>
  </w:style>
  <w:style w:type="paragraph" w:customStyle="1" w:styleId="ListDash1">
    <w:name w:val="List Dash 1"/>
    <w:basedOn w:val="Text1"/>
    <w:rsid w:val="0013483E"/>
    <w:pPr>
      <w:numPr>
        <w:numId w:val="25"/>
      </w:numPr>
    </w:pPr>
    <w:rPr>
      <w:snapToGrid/>
    </w:rPr>
  </w:style>
  <w:style w:type="paragraph" w:customStyle="1" w:styleId="ListDash2">
    <w:name w:val="List Dash 2"/>
    <w:basedOn w:val="Text2"/>
    <w:rsid w:val="0013483E"/>
    <w:pPr>
      <w:numPr>
        <w:numId w:val="26"/>
      </w:numPr>
      <w:tabs>
        <w:tab w:val="clear" w:pos="2161"/>
      </w:tabs>
    </w:pPr>
    <w:rPr>
      <w:snapToGrid/>
    </w:rPr>
  </w:style>
  <w:style w:type="paragraph" w:customStyle="1" w:styleId="ListDash3">
    <w:name w:val="List Dash 3"/>
    <w:basedOn w:val="Text3"/>
    <w:rsid w:val="0013483E"/>
    <w:pPr>
      <w:numPr>
        <w:numId w:val="27"/>
      </w:numPr>
      <w:tabs>
        <w:tab w:val="clear" w:pos="2302"/>
      </w:tabs>
    </w:pPr>
    <w:rPr>
      <w:snapToGrid/>
    </w:rPr>
  </w:style>
  <w:style w:type="paragraph" w:customStyle="1" w:styleId="ListDash4">
    <w:name w:val="List Dash 4"/>
    <w:basedOn w:val="Text4"/>
    <w:rsid w:val="0013483E"/>
    <w:pPr>
      <w:numPr>
        <w:numId w:val="28"/>
      </w:numPr>
    </w:pPr>
    <w:rPr>
      <w:snapToGrid/>
    </w:rPr>
  </w:style>
  <w:style w:type="paragraph" w:customStyle="1" w:styleId="ListNumber1">
    <w:name w:val="List Number 1"/>
    <w:basedOn w:val="Text1"/>
    <w:rsid w:val="0013483E"/>
    <w:pPr>
      <w:numPr>
        <w:numId w:val="45"/>
      </w:numPr>
    </w:pPr>
    <w:rPr>
      <w:snapToGrid/>
    </w:rPr>
  </w:style>
  <w:style w:type="paragraph" w:customStyle="1" w:styleId="ListNumberLevel2">
    <w:name w:val="List Number (Level 2)"/>
    <w:basedOn w:val="Normal"/>
    <w:rsid w:val="0013483E"/>
    <w:pPr>
      <w:numPr>
        <w:ilvl w:val="1"/>
        <w:numId w:val="44"/>
      </w:numPr>
    </w:pPr>
    <w:rPr>
      <w:snapToGrid/>
    </w:rPr>
  </w:style>
  <w:style w:type="paragraph" w:customStyle="1" w:styleId="ListNumber1Level2">
    <w:name w:val="List Number 1 (Level 2)"/>
    <w:basedOn w:val="Text1"/>
    <w:rsid w:val="0013483E"/>
    <w:pPr>
      <w:numPr>
        <w:ilvl w:val="1"/>
        <w:numId w:val="45"/>
      </w:numPr>
    </w:pPr>
    <w:rPr>
      <w:snapToGrid/>
    </w:rPr>
  </w:style>
  <w:style w:type="paragraph" w:customStyle="1" w:styleId="ListNumber2Level2">
    <w:name w:val="List Number 2 (Level 2)"/>
    <w:basedOn w:val="Text2"/>
    <w:rsid w:val="0013483E"/>
    <w:pPr>
      <w:numPr>
        <w:ilvl w:val="1"/>
        <w:numId w:val="46"/>
      </w:numPr>
      <w:tabs>
        <w:tab w:val="clear" w:pos="2161"/>
      </w:tabs>
    </w:pPr>
    <w:rPr>
      <w:snapToGrid/>
    </w:rPr>
  </w:style>
  <w:style w:type="paragraph" w:customStyle="1" w:styleId="ListNumber3Level2">
    <w:name w:val="List Number 3 (Level 2)"/>
    <w:basedOn w:val="Text3"/>
    <w:rsid w:val="0013483E"/>
    <w:pPr>
      <w:numPr>
        <w:ilvl w:val="1"/>
        <w:numId w:val="47"/>
      </w:numPr>
      <w:tabs>
        <w:tab w:val="clear" w:pos="2302"/>
      </w:tabs>
    </w:pPr>
    <w:rPr>
      <w:snapToGrid/>
    </w:rPr>
  </w:style>
  <w:style w:type="paragraph" w:customStyle="1" w:styleId="ListNumber4Level2">
    <w:name w:val="List Number 4 (Level 2)"/>
    <w:basedOn w:val="Text4"/>
    <w:rsid w:val="0013483E"/>
    <w:pPr>
      <w:numPr>
        <w:ilvl w:val="1"/>
        <w:numId w:val="48"/>
      </w:numPr>
    </w:pPr>
    <w:rPr>
      <w:snapToGrid/>
    </w:rPr>
  </w:style>
  <w:style w:type="paragraph" w:customStyle="1" w:styleId="ListNumberLevel3">
    <w:name w:val="List Number (Level 3)"/>
    <w:basedOn w:val="Normal"/>
    <w:rsid w:val="0013483E"/>
    <w:pPr>
      <w:numPr>
        <w:ilvl w:val="2"/>
        <w:numId w:val="44"/>
      </w:numPr>
    </w:pPr>
    <w:rPr>
      <w:snapToGrid/>
    </w:rPr>
  </w:style>
  <w:style w:type="paragraph" w:customStyle="1" w:styleId="ListNumber1Level3">
    <w:name w:val="List Number 1 (Level 3)"/>
    <w:basedOn w:val="Text1"/>
    <w:rsid w:val="0013483E"/>
    <w:pPr>
      <w:numPr>
        <w:ilvl w:val="2"/>
        <w:numId w:val="45"/>
      </w:numPr>
    </w:pPr>
    <w:rPr>
      <w:snapToGrid/>
    </w:rPr>
  </w:style>
  <w:style w:type="paragraph" w:customStyle="1" w:styleId="ListNumber2Level3">
    <w:name w:val="List Number 2 (Level 3)"/>
    <w:basedOn w:val="Text2"/>
    <w:rsid w:val="0013483E"/>
    <w:pPr>
      <w:numPr>
        <w:ilvl w:val="2"/>
        <w:numId w:val="46"/>
      </w:numPr>
      <w:tabs>
        <w:tab w:val="clear" w:pos="2161"/>
      </w:tabs>
    </w:pPr>
    <w:rPr>
      <w:snapToGrid/>
    </w:rPr>
  </w:style>
  <w:style w:type="paragraph" w:customStyle="1" w:styleId="ListNumber3Level3">
    <w:name w:val="List Number 3 (Level 3)"/>
    <w:basedOn w:val="Text3"/>
    <w:rsid w:val="0013483E"/>
    <w:pPr>
      <w:numPr>
        <w:ilvl w:val="2"/>
        <w:numId w:val="47"/>
      </w:numPr>
      <w:tabs>
        <w:tab w:val="clear" w:pos="2302"/>
      </w:tabs>
    </w:pPr>
    <w:rPr>
      <w:snapToGrid/>
    </w:rPr>
  </w:style>
  <w:style w:type="paragraph" w:customStyle="1" w:styleId="ListNumber4Level3">
    <w:name w:val="List Number 4 (Level 3)"/>
    <w:basedOn w:val="Text4"/>
    <w:rsid w:val="0013483E"/>
    <w:pPr>
      <w:numPr>
        <w:ilvl w:val="2"/>
        <w:numId w:val="48"/>
      </w:numPr>
    </w:pPr>
    <w:rPr>
      <w:snapToGrid/>
    </w:rPr>
  </w:style>
  <w:style w:type="paragraph" w:customStyle="1" w:styleId="ListNumberLevel4">
    <w:name w:val="List Number (Level 4)"/>
    <w:basedOn w:val="Normal"/>
    <w:rsid w:val="0013483E"/>
    <w:pPr>
      <w:numPr>
        <w:ilvl w:val="3"/>
        <w:numId w:val="44"/>
      </w:numPr>
    </w:pPr>
    <w:rPr>
      <w:snapToGrid/>
    </w:rPr>
  </w:style>
  <w:style w:type="paragraph" w:customStyle="1" w:styleId="ListNumber1Level4">
    <w:name w:val="List Number 1 (Level 4)"/>
    <w:basedOn w:val="Text1"/>
    <w:rsid w:val="0013483E"/>
    <w:pPr>
      <w:numPr>
        <w:ilvl w:val="3"/>
        <w:numId w:val="45"/>
      </w:numPr>
    </w:pPr>
    <w:rPr>
      <w:snapToGrid/>
    </w:rPr>
  </w:style>
  <w:style w:type="paragraph" w:customStyle="1" w:styleId="ListNumber2Level4">
    <w:name w:val="List Number 2 (Level 4)"/>
    <w:basedOn w:val="Text2"/>
    <w:rsid w:val="0013483E"/>
    <w:pPr>
      <w:numPr>
        <w:ilvl w:val="3"/>
        <w:numId w:val="46"/>
      </w:numPr>
      <w:tabs>
        <w:tab w:val="clear" w:pos="2161"/>
      </w:tabs>
    </w:pPr>
    <w:rPr>
      <w:snapToGrid/>
    </w:rPr>
  </w:style>
  <w:style w:type="paragraph" w:customStyle="1" w:styleId="ListNumber3Level4">
    <w:name w:val="List Number 3 (Level 4)"/>
    <w:basedOn w:val="Text3"/>
    <w:rsid w:val="0013483E"/>
    <w:pPr>
      <w:numPr>
        <w:ilvl w:val="3"/>
        <w:numId w:val="47"/>
      </w:numPr>
      <w:tabs>
        <w:tab w:val="clear" w:pos="2302"/>
      </w:tabs>
    </w:pPr>
    <w:rPr>
      <w:snapToGrid/>
    </w:rPr>
  </w:style>
  <w:style w:type="paragraph" w:customStyle="1" w:styleId="ListNumber4Level4">
    <w:name w:val="List Number 4 (Level 4)"/>
    <w:basedOn w:val="Text4"/>
    <w:rsid w:val="0013483E"/>
    <w:pPr>
      <w:numPr>
        <w:ilvl w:val="3"/>
        <w:numId w:val="48"/>
      </w:numPr>
    </w:pPr>
    <w:rPr>
      <w:snapToGrid/>
    </w:rPr>
  </w:style>
  <w:style w:type="paragraph" w:styleId="TOCHeading">
    <w:name w:val="TOC Heading"/>
    <w:basedOn w:val="Normal"/>
    <w:next w:val="Normal"/>
    <w:qFormat/>
    <w:rsid w:val="0013483E"/>
    <w:pPr>
      <w:keepNext/>
      <w:spacing w:before="240"/>
      <w:jc w:val="center"/>
    </w:pPr>
    <w:rPr>
      <w:b/>
      <w:snapToGrid/>
    </w:rPr>
  </w:style>
  <w:style w:type="character" w:styleId="FootnoteReference">
    <w:name w:val="footnote reference"/>
    <w:semiHidden/>
    <w:rsid w:val="00884921"/>
    <w:rPr>
      <w:vertAlign w:val="superscript"/>
    </w:rPr>
  </w:style>
  <w:style w:type="paragraph" w:customStyle="1" w:styleId="Char2">
    <w:name w:val="Char2"/>
    <w:basedOn w:val="Normal"/>
    <w:rsid w:val="008F64D4"/>
    <w:pPr>
      <w:spacing w:after="160" w:line="240" w:lineRule="exact"/>
      <w:jc w:val="left"/>
    </w:pPr>
    <w:rPr>
      <w:rFonts w:ascii="Tahoma" w:hAnsi="Tahoma"/>
      <w:snapToGrid/>
      <w:sz w:val="20"/>
      <w:lang w:val="en-US"/>
    </w:rPr>
  </w:style>
  <w:style w:type="character" w:styleId="EndnoteReference">
    <w:name w:val="endnote reference"/>
    <w:semiHidden/>
    <w:rsid w:val="00484D5F"/>
    <w:rPr>
      <w:vertAlign w:val="superscript"/>
    </w:rPr>
  </w:style>
  <w:style w:type="paragraph" w:customStyle="1" w:styleId="StyleHeading211pt">
    <w:name w:val="Style Heading 2 + 11 pt"/>
    <w:basedOn w:val="Heading2"/>
    <w:rsid w:val="00CD59AF"/>
    <w:pPr>
      <w:tabs>
        <w:tab w:val="left" w:pos="0"/>
      </w:tabs>
    </w:pPr>
    <w:rPr>
      <w:bCs/>
      <w:sz w:val="22"/>
    </w:rPr>
  </w:style>
  <w:style w:type="character" w:styleId="Hyperlink">
    <w:name w:val="Hyperlink"/>
    <w:rsid w:val="00690DA0"/>
    <w:rPr>
      <w:color w:val="0000FF"/>
      <w:u w:val="single"/>
    </w:rPr>
  </w:style>
  <w:style w:type="character" w:styleId="FollowedHyperlink">
    <w:name w:val="FollowedHyperlink"/>
    <w:rsid w:val="002D10CE"/>
    <w:rPr>
      <w:color w:val="606420"/>
      <w:u w:val="single"/>
    </w:rPr>
  </w:style>
  <w:style w:type="paragraph" w:styleId="BalloonText">
    <w:name w:val="Balloon Text"/>
    <w:basedOn w:val="Normal"/>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CommentReference">
    <w:name w:val="annotation reference"/>
    <w:rsid w:val="00A347CB"/>
    <w:rPr>
      <w:sz w:val="16"/>
      <w:szCs w:val="16"/>
    </w:rPr>
  </w:style>
  <w:style w:type="paragraph" w:styleId="CommentSubject">
    <w:name w:val="annotation subject"/>
    <w:basedOn w:val="CommentText"/>
    <w:next w:val="CommentText"/>
    <w:link w:val="CommentSubjectChar"/>
    <w:rsid w:val="00A347CB"/>
    <w:rPr>
      <w:b/>
      <w:bCs/>
    </w:rPr>
  </w:style>
  <w:style w:type="character" w:customStyle="1" w:styleId="CommentTextChar">
    <w:name w:val="Comment Text Char"/>
    <w:link w:val="CommentText"/>
    <w:rsid w:val="00A347CB"/>
    <w:rPr>
      <w:snapToGrid/>
      <w:lang w:val="fr-FR" w:eastAsia="en-US"/>
    </w:rPr>
  </w:style>
  <w:style w:type="character" w:customStyle="1" w:styleId="CommentSubjectChar">
    <w:name w:val="Comment Subject Char"/>
    <w:link w:val="CommentSubject"/>
    <w:rsid w:val="00A347CB"/>
    <w:rPr>
      <w:b/>
      <w:bCs/>
      <w:snapToGrid/>
      <w:lang w:val="fr-FR" w:eastAsia="en-US"/>
    </w:rPr>
  </w:style>
  <w:style w:type="paragraph" w:styleId="Revision">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cho/partners/humanitarian_aid/procurement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6D5B-7176-4449-94F2-4CC9E14E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7</Pages>
  <Words>2937</Words>
  <Characters>16449</Characters>
  <Application>Microsoft Office Word</Application>
  <DocSecurity>0</DocSecurity>
  <Lines>316</Lines>
  <Paragraphs>201</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19185</CharactersWithSpaces>
  <SharedDoc>false</SharedDoc>
  <HLinks>
    <vt:vector size="6" baseType="variant">
      <vt:variant>
        <vt:i4>5439579</vt:i4>
      </vt:variant>
      <vt:variant>
        <vt:i4>3</vt:i4>
      </vt:variant>
      <vt:variant>
        <vt:i4>0</vt:i4>
      </vt:variant>
      <vt:variant>
        <vt:i4>5</vt:i4>
      </vt:variant>
      <vt:variant>
        <vt:lpwstr>http://ec.europa.eu/echo/partners/humanitarian_aid/procurement_en.htm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Rania Muna</cp:lastModifiedBy>
  <cp:revision>3</cp:revision>
  <cp:lastPrinted>2013-09-30T12:51:00Z</cp:lastPrinted>
  <dcterms:created xsi:type="dcterms:W3CDTF">2014-04-08T09:29:00Z</dcterms:created>
  <dcterms:modified xsi:type="dcterms:W3CDTF">2014-06-05T12:01:00Z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Checked by">
    <vt:lpwstr>cajalja</vt:lpwstr>
  </property>
</Properties>
</file>